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方正仿宋_GB2312" w:hAnsi="方正仿宋_GB2312" w:eastAsia="方正仿宋_GB2312" w:cs="方正仿宋_GB2312"/>
          <w:color w:val="auto"/>
          <w:sz w:val="36"/>
          <w:szCs w:val="36"/>
          <w:highlight w:val="none"/>
        </w:rPr>
      </w:pPr>
      <w:bookmarkStart w:id="45" w:name="_GoBack"/>
      <w:bookmarkEnd w:id="45"/>
    </w:p>
    <w:p>
      <w:pPr>
        <w:rPr>
          <w:rFonts w:hint="eastAsia" w:ascii="方正仿宋_GB2312" w:hAnsi="方正仿宋_GB2312" w:eastAsia="方正仿宋_GB2312" w:cs="方正仿宋_GB2312"/>
          <w:color w:val="auto"/>
          <w:sz w:val="36"/>
          <w:szCs w:val="36"/>
          <w:highlight w:val="none"/>
        </w:rPr>
      </w:pPr>
    </w:p>
    <w:p>
      <w:pPr>
        <w:rPr>
          <w:rFonts w:hint="eastAsia" w:ascii="方正仿宋_GB2312" w:hAnsi="方正仿宋_GB2312" w:eastAsia="方正仿宋_GB2312" w:cs="方正仿宋_GB2312"/>
          <w:color w:val="auto"/>
          <w:sz w:val="36"/>
          <w:szCs w:val="36"/>
          <w:highlight w:val="none"/>
        </w:rPr>
      </w:pPr>
    </w:p>
    <w:p>
      <w:pPr>
        <w:rPr>
          <w:rFonts w:hint="eastAsia" w:ascii="方正仿宋_GB2312" w:hAnsi="方正仿宋_GB2312" w:eastAsia="方正仿宋_GB2312" w:cs="方正仿宋_GB2312"/>
          <w:color w:val="auto"/>
          <w:sz w:val="36"/>
          <w:szCs w:val="36"/>
          <w:highlight w:val="none"/>
        </w:rPr>
      </w:pPr>
    </w:p>
    <w:p>
      <w:pPr>
        <w:rPr>
          <w:rFonts w:hint="eastAsia" w:ascii="方正仿宋_GB2312" w:hAnsi="方正仿宋_GB2312" w:eastAsia="方正仿宋_GB2312" w:cs="方正仿宋_GB2312"/>
          <w:color w:val="auto"/>
          <w:sz w:val="36"/>
          <w:szCs w:val="36"/>
          <w:highlight w:val="none"/>
        </w:rPr>
      </w:pPr>
    </w:p>
    <w:p>
      <w:pPr>
        <w:adjustRightInd w:val="0"/>
        <w:snapToGrid w:val="0"/>
        <w:jc w:val="center"/>
        <w:outlineLvl w:val="0"/>
        <w:rPr>
          <w:rFonts w:ascii="方正小标宋_GBK" w:eastAsia="方正小标宋_GBK"/>
          <w:bCs/>
          <w:color w:val="auto"/>
          <w:sz w:val="72"/>
          <w:szCs w:val="72"/>
          <w:highlight w:val="none"/>
        </w:rPr>
      </w:pPr>
      <w:bookmarkStart w:id="0" w:name="_Toc8508"/>
      <w:bookmarkStart w:id="1" w:name="_Toc27469"/>
      <w:r>
        <w:rPr>
          <w:rFonts w:hint="eastAsia" w:ascii="方正小标宋_GBK" w:eastAsia="方正小标宋_GBK"/>
          <w:bCs/>
          <w:color w:val="auto"/>
          <w:sz w:val="72"/>
          <w:szCs w:val="72"/>
          <w:highlight w:val="none"/>
        </w:rPr>
        <w:t>建设项目环境影响报告表</w:t>
      </w:r>
      <w:bookmarkEnd w:id="0"/>
      <w:bookmarkEnd w:id="1"/>
    </w:p>
    <w:p>
      <w:pPr>
        <w:adjustRightInd w:val="0"/>
        <w:snapToGrid w:val="0"/>
        <w:spacing w:before="192" w:beforeLines="80"/>
        <w:jc w:val="center"/>
        <w:rPr>
          <w:rFonts w:ascii="楷体_GB2312" w:eastAsia="楷体_GB2312"/>
          <w:bCs/>
          <w:color w:val="auto"/>
          <w:sz w:val="48"/>
          <w:szCs w:val="48"/>
          <w:highlight w:val="none"/>
        </w:rPr>
      </w:pPr>
      <w:r>
        <w:rPr>
          <w:rFonts w:hint="eastAsia" w:ascii="楷体_GB2312" w:eastAsia="楷体_GB2312"/>
          <w:bCs/>
          <w:color w:val="auto"/>
          <w:sz w:val="48"/>
          <w:szCs w:val="48"/>
          <w:highlight w:val="none"/>
        </w:rPr>
        <w:t>（污染影响类）</w:t>
      </w:r>
    </w:p>
    <w:p>
      <w:pPr>
        <w:adjustRightInd w:val="0"/>
        <w:snapToGrid w:val="0"/>
        <w:spacing w:line="288" w:lineRule="auto"/>
        <w:jc w:val="center"/>
        <w:rPr>
          <w:rFonts w:hint="eastAsia" w:ascii="华文仿宋" w:hAnsi="华文仿宋" w:eastAsia="华文仿宋" w:cs="华文仿宋"/>
          <w:color w:val="auto"/>
          <w:kern w:val="44"/>
          <w:sz w:val="44"/>
          <w:szCs w:val="44"/>
          <w:highlight w:val="none"/>
        </w:rPr>
      </w:pPr>
    </w:p>
    <w:p>
      <w:pPr>
        <w:jc w:val="center"/>
        <w:rPr>
          <w:rFonts w:eastAsia="仿宋"/>
          <w:color w:val="auto"/>
          <w:sz w:val="52"/>
          <w:szCs w:val="52"/>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ind w:firstLine="1040"/>
        <w:rPr>
          <w:rFonts w:eastAsia="仿宋"/>
          <w:color w:val="auto"/>
          <w:sz w:val="44"/>
          <w:szCs w:val="44"/>
          <w:highlight w:val="none"/>
        </w:rPr>
      </w:pPr>
    </w:p>
    <w:p>
      <w:pPr>
        <w:adjustRightInd w:val="0"/>
        <w:snapToGrid w:val="0"/>
        <w:spacing w:line="288" w:lineRule="auto"/>
        <w:ind w:left="2877" w:leftChars="513" w:hanging="1800" w:hangingChars="500"/>
        <w:rPr>
          <w:rFonts w:eastAsia="方正仿宋_GB2312"/>
          <w:color w:val="auto"/>
          <w:sz w:val="36"/>
          <w:szCs w:val="36"/>
          <w:highlight w:val="none"/>
          <w:u w:val="single"/>
        </w:rPr>
      </w:pPr>
      <w:r>
        <w:rPr>
          <w:rFonts w:eastAsia="方正仿宋_GB2312"/>
          <w:color w:val="auto"/>
          <w:sz w:val="36"/>
          <w:szCs w:val="36"/>
          <w:highlight w:val="none"/>
        </w:rPr>
        <w:t>项目名称：</w:t>
      </w:r>
      <w:r>
        <w:rPr>
          <w:rFonts w:hint="eastAsia" w:eastAsia="方正仿宋_GB2312"/>
          <w:color w:val="auto"/>
          <w:sz w:val="36"/>
          <w:szCs w:val="36"/>
          <w:highlight w:val="none"/>
          <w:u w:val="single"/>
        </w:rPr>
        <w:t xml:space="preserve"> </w:t>
      </w:r>
      <w:r>
        <w:rPr>
          <w:rFonts w:hint="eastAsia" w:eastAsia="方正仿宋_GB2312"/>
          <w:color w:val="auto"/>
          <w:sz w:val="36"/>
          <w:szCs w:val="36"/>
          <w:highlight w:val="none"/>
          <w:u w:val="single"/>
          <w:lang w:val="en-US" w:eastAsia="zh-CN"/>
        </w:rPr>
        <w:t>中矿宁德</w:t>
      </w:r>
      <w:r>
        <w:rPr>
          <w:rFonts w:hint="eastAsia" w:eastAsia="方正仿宋_GB2312"/>
          <w:color w:val="auto"/>
          <w:sz w:val="36"/>
          <w:szCs w:val="36"/>
          <w:highlight w:val="none"/>
          <w:u w:val="single"/>
        </w:rPr>
        <w:t>保税物流中心（B型）混矿</w:t>
      </w:r>
      <w:r>
        <w:rPr>
          <w:rFonts w:eastAsia="方正仿宋_GB2312"/>
          <w:color w:val="auto"/>
          <w:sz w:val="36"/>
          <w:szCs w:val="36"/>
          <w:highlight w:val="none"/>
          <w:u w:val="single"/>
        </w:rPr>
        <w:t>项目</w:t>
      </w:r>
      <w:r>
        <w:rPr>
          <w:rFonts w:hint="eastAsia" w:eastAsia="方正仿宋_GB2312"/>
          <w:color w:val="auto"/>
          <w:sz w:val="36"/>
          <w:szCs w:val="36"/>
          <w:highlight w:val="none"/>
          <w:u w:val="single"/>
        </w:rPr>
        <w:t xml:space="preserve">       </w:t>
      </w:r>
    </w:p>
    <w:p>
      <w:pPr>
        <w:adjustRightInd w:val="0"/>
        <w:snapToGrid w:val="0"/>
        <w:spacing w:line="288" w:lineRule="auto"/>
        <w:ind w:firstLine="1040"/>
        <w:rPr>
          <w:rFonts w:eastAsia="方正仿宋_GB2312"/>
          <w:color w:val="auto"/>
          <w:sz w:val="36"/>
          <w:szCs w:val="36"/>
          <w:highlight w:val="none"/>
          <w:u w:val="single"/>
        </w:rPr>
      </w:pPr>
      <w:r>
        <w:rPr>
          <w:rFonts w:eastAsia="方正仿宋_GB2312"/>
          <w:color w:val="auto"/>
          <w:sz w:val="36"/>
          <w:szCs w:val="36"/>
          <w:highlight w:val="none"/>
        </w:rPr>
        <w:t>建设单位（盖章）：</w:t>
      </w:r>
      <w:r>
        <w:rPr>
          <w:rFonts w:eastAsia="方正仿宋_GB2312"/>
          <w:color w:val="auto"/>
          <w:sz w:val="36"/>
          <w:szCs w:val="36"/>
          <w:highlight w:val="none"/>
          <w:u w:val="single"/>
        </w:rPr>
        <w:t xml:space="preserve"> </w:t>
      </w:r>
      <w:r>
        <w:rPr>
          <w:rFonts w:hint="eastAsia" w:eastAsia="方正仿宋_GB2312"/>
          <w:color w:val="auto"/>
          <w:sz w:val="36"/>
          <w:szCs w:val="36"/>
          <w:highlight w:val="none"/>
          <w:u w:val="single"/>
        </w:rPr>
        <w:t xml:space="preserve">  中</w:t>
      </w:r>
      <w:r>
        <w:rPr>
          <w:rFonts w:hint="eastAsia" w:eastAsia="方正仿宋_GB2312"/>
          <w:color w:val="auto"/>
          <w:sz w:val="36"/>
          <w:szCs w:val="36"/>
          <w:highlight w:val="none"/>
          <w:u w:val="single"/>
          <w:lang w:val="en-US" w:eastAsia="zh-CN"/>
        </w:rPr>
        <w:t>矿</w:t>
      </w:r>
      <w:r>
        <w:rPr>
          <w:rFonts w:hint="eastAsia" w:eastAsia="方正仿宋_GB2312"/>
          <w:color w:val="auto"/>
          <w:sz w:val="36"/>
          <w:szCs w:val="36"/>
          <w:highlight w:val="none"/>
          <w:u w:val="single"/>
          <w:lang w:eastAsia="zh-CN"/>
        </w:rPr>
        <w:t>（</w:t>
      </w:r>
      <w:r>
        <w:rPr>
          <w:rFonts w:hint="eastAsia" w:eastAsia="方正仿宋_GB2312"/>
          <w:color w:val="auto"/>
          <w:sz w:val="36"/>
          <w:szCs w:val="36"/>
          <w:highlight w:val="none"/>
          <w:u w:val="single"/>
          <w:lang w:val="en-US" w:eastAsia="zh-CN"/>
        </w:rPr>
        <w:t>宁德</w:t>
      </w:r>
      <w:r>
        <w:rPr>
          <w:rFonts w:hint="eastAsia" w:eastAsia="方正仿宋_GB2312"/>
          <w:color w:val="auto"/>
          <w:sz w:val="36"/>
          <w:szCs w:val="36"/>
          <w:highlight w:val="none"/>
          <w:u w:val="single"/>
          <w:lang w:eastAsia="zh-CN"/>
        </w:rPr>
        <w:t>）</w:t>
      </w:r>
      <w:r>
        <w:rPr>
          <w:rFonts w:hint="eastAsia" w:eastAsia="方正仿宋_GB2312"/>
          <w:color w:val="auto"/>
          <w:sz w:val="36"/>
          <w:szCs w:val="36"/>
          <w:highlight w:val="none"/>
          <w:u w:val="single"/>
        </w:rPr>
        <w:t xml:space="preserve">有限公司     </w:t>
      </w:r>
      <w:r>
        <w:rPr>
          <w:rFonts w:eastAsia="方正仿宋_GB2312"/>
          <w:color w:val="auto"/>
          <w:sz w:val="36"/>
          <w:szCs w:val="36"/>
          <w:highlight w:val="none"/>
          <w:u w:val="single"/>
        </w:rPr>
        <w:t xml:space="preserve">  </w:t>
      </w:r>
    </w:p>
    <w:p>
      <w:pPr>
        <w:adjustRightInd w:val="0"/>
        <w:snapToGrid w:val="0"/>
        <w:spacing w:line="288" w:lineRule="auto"/>
        <w:ind w:firstLine="1040"/>
        <w:rPr>
          <w:rFonts w:ascii="方正仿宋_GB2312" w:eastAsia="方正仿宋_GB2312"/>
          <w:color w:val="auto"/>
          <w:sz w:val="36"/>
          <w:szCs w:val="36"/>
          <w:highlight w:val="none"/>
          <w:u w:val="single"/>
        </w:rPr>
      </w:pPr>
      <w:r>
        <w:rPr>
          <w:rFonts w:eastAsia="方正仿宋_GB2312"/>
          <w:color w:val="auto"/>
          <w:sz w:val="36"/>
          <w:szCs w:val="36"/>
          <w:highlight w:val="none"/>
        </w:rPr>
        <w:t>编制日期：</w:t>
      </w:r>
      <w:r>
        <w:rPr>
          <w:rFonts w:eastAsia="方正仿宋_GB2312"/>
          <w:color w:val="auto"/>
          <w:sz w:val="36"/>
          <w:szCs w:val="36"/>
          <w:highlight w:val="none"/>
          <w:u w:val="single"/>
        </w:rPr>
        <w:t xml:space="preserve">     </w:t>
      </w:r>
      <w:r>
        <w:rPr>
          <w:rFonts w:hint="eastAsia" w:eastAsia="方正仿宋_GB2312"/>
          <w:color w:val="auto"/>
          <w:sz w:val="36"/>
          <w:szCs w:val="36"/>
          <w:highlight w:val="none"/>
          <w:u w:val="single"/>
        </w:rPr>
        <w:t xml:space="preserve">   </w:t>
      </w:r>
      <w:r>
        <w:rPr>
          <w:rFonts w:eastAsia="方正仿宋_GB2312"/>
          <w:color w:val="auto"/>
          <w:sz w:val="36"/>
          <w:szCs w:val="36"/>
          <w:highlight w:val="none"/>
          <w:u w:val="single"/>
        </w:rPr>
        <w:t xml:space="preserve"> 202</w:t>
      </w:r>
      <w:r>
        <w:rPr>
          <w:rFonts w:hint="eastAsia" w:eastAsia="方正仿宋_GB2312"/>
          <w:color w:val="auto"/>
          <w:sz w:val="36"/>
          <w:szCs w:val="36"/>
          <w:highlight w:val="none"/>
          <w:u w:val="single"/>
        </w:rPr>
        <w:t>6</w:t>
      </w:r>
      <w:r>
        <w:rPr>
          <w:rFonts w:eastAsia="方正仿宋_GB2312"/>
          <w:color w:val="auto"/>
          <w:sz w:val="36"/>
          <w:szCs w:val="36"/>
          <w:highlight w:val="none"/>
          <w:u w:val="single"/>
        </w:rPr>
        <w:t>年</w:t>
      </w:r>
      <w:r>
        <w:rPr>
          <w:rFonts w:hint="eastAsia" w:eastAsia="方正仿宋_GB2312"/>
          <w:color w:val="auto"/>
          <w:sz w:val="36"/>
          <w:szCs w:val="36"/>
          <w:highlight w:val="none"/>
          <w:u w:val="single"/>
          <w:lang w:val="en-US" w:eastAsia="zh-CN"/>
        </w:rPr>
        <w:t>5</w:t>
      </w:r>
      <w:r>
        <w:rPr>
          <w:rFonts w:eastAsia="方正仿宋_GB2312"/>
          <w:color w:val="auto"/>
          <w:sz w:val="36"/>
          <w:szCs w:val="36"/>
          <w:highlight w:val="none"/>
          <w:u w:val="single"/>
        </w:rPr>
        <w:t xml:space="preserve">月           </w:t>
      </w:r>
      <w:r>
        <w:rPr>
          <w:rFonts w:hint="eastAsia" w:eastAsia="方正仿宋_GB2312"/>
          <w:color w:val="auto"/>
          <w:sz w:val="36"/>
          <w:szCs w:val="36"/>
          <w:highlight w:val="none"/>
          <w:u w:val="single"/>
        </w:rPr>
        <w:t xml:space="preserve">  </w:t>
      </w:r>
      <w:r>
        <w:rPr>
          <w:rFonts w:eastAsia="方正仿宋_GB2312"/>
          <w:color w:val="auto"/>
          <w:sz w:val="36"/>
          <w:szCs w:val="36"/>
          <w:highlight w:val="none"/>
          <w:u w:val="single"/>
        </w:rPr>
        <w:t xml:space="preserve">  </w:t>
      </w:r>
      <w:r>
        <w:rPr>
          <w:rFonts w:ascii="方正仿宋_GB2312" w:eastAsia="方正仿宋_GB2312"/>
          <w:color w:val="auto"/>
          <w:sz w:val="36"/>
          <w:szCs w:val="36"/>
          <w:highlight w:val="none"/>
          <w:u w:val="single"/>
        </w:rPr>
        <w:t xml:space="preserve">  </w:t>
      </w:r>
      <w:r>
        <w:rPr>
          <w:rFonts w:hint="eastAsia" w:ascii="方正仿宋_GB2312" w:eastAsia="方正仿宋_GB2312"/>
          <w:color w:val="auto"/>
          <w:sz w:val="36"/>
          <w:szCs w:val="36"/>
          <w:highlight w:val="none"/>
          <w:u w:val="single"/>
        </w:rPr>
        <w:t xml:space="preserve"> </w:t>
      </w:r>
    </w:p>
    <w:p>
      <w:pPr>
        <w:adjustRightInd w:val="0"/>
        <w:snapToGrid w:val="0"/>
        <w:spacing w:line="288" w:lineRule="auto"/>
        <w:ind w:firstLine="1040"/>
        <w:rPr>
          <w:rFonts w:ascii="方正仿宋_GB2312" w:eastAsia="方正仿宋_GB2312"/>
          <w:color w:val="auto"/>
          <w:sz w:val="36"/>
          <w:szCs w:val="36"/>
          <w:highlight w:val="none"/>
          <w:u w:val="single"/>
        </w:rPr>
      </w:pPr>
      <w:bookmarkStart w:id="2" w:name="_Hlk57884087"/>
    </w:p>
    <w:p>
      <w:pPr>
        <w:adjustRightInd w:val="0"/>
        <w:snapToGrid w:val="0"/>
        <w:spacing w:line="288" w:lineRule="auto"/>
        <w:ind w:firstLine="1040"/>
        <w:rPr>
          <w:rFonts w:ascii="方正仿宋_GB2312" w:eastAsia="方正仿宋_GB2312"/>
          <w:color w:val="auto"/>
          <w:sz w:val="36"/>
          <w:szCs w:val="36"/>
          <w:highlight w:val="none"/>
        </w:rPr>
      </w:pPr>
    </w:p>
    <w:p>
      <w:pPr>
        <w:adjustRightInd w:val="0"/>
        <w:snapToGrid w:val="0"/>
        <w:spacing w:line="288" w:lineRule="auto"/>
        <w:ind w:firstLine="1040"/>
        <w:rPr>
          <w:rFonts w:ascii="方正仿宋_GB2312" w:eastAsia="方正仿宋_GB2312"/>
          <w:color w:val="auto"/>
          <w:sz w:val="36"/>
          <w:szCs w:val="36"/>
          <w:highlight w:val="none"/>
        </w:rPr>
      </w:pPr>
    </w:p>
    <w:p>
      <w:pPr>
        <w:adjustRightInd w:val="0"/>
        <w:snapToGrid w:val="0"/>
        <w:spacing w:line="288" w:lineRule="auto"/>
        <w:ind w:firstLine="1040"/>
        <w:rPr>
          <w:rFonts w:ascii="方正仿宋_GB2312" w:eastAsia="方正仿宋_GB2312"/>
          <w:color w:val="auto"/>
          <w:sz w:val="36"/>
          <w:szCs w:val="36"/>
          <w:highlight w:val="none"/>
        </w:rPr>
      </w:pPr>
    </w:p>
    <w:bookmarkEnd w:id="2"/>
    <w:p>
      <w:pPr>
        <w:adjustRightInd w:val="0"/>
        <w:snapToGrid w:val="0"/>
        <w:spacing w:line="288" w:lineRule="auto"/>
        <w:jc w:val="center"/>
        <w:rPr>
          <w:rFonts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方正仿宋_GB2312" w:eastAsia="方正仿宋_GB2312"/>
          <w:color w:val="auto"/>
          <w:sz w:val="36"/>
          <w:szCs w:val="36"/>
          <w:highlight w:val="none"/>
        </w:rPr>
        <w:sectPr>
          <w:footerReference r:id="rId3" w:type="default"/>
          <w:footerReference r:id="rId4" w:type="even"/>
          <w:pgSz w:w="11906" w:h="16838"/>
          <w:pgMar w:top="1701" w:right="1134" w:bottom="1701" w:left="1134" w:header="851" w:footer="1077" w:gutter="0"/>
          <w:pgNumType w:start="3"/>
          <w:cols w:space="720" w:num="1"/>
          <w:docGrid w:linePitch="312" w:charSpace="0"/>
        </w:sectPr>
      </w:pPr>
    </w:p>
    <w:sdt>
      <w:sdtPr>
        <w:rPr>
          <w:rFonts w:ascii="宋体" w:hAnsi="宋体"/>
          <w:color w:val="auto"/>
          <w:kern w:val="0"/>
          <w:sz w:val="24"/>
          <w:szCs w:val="20"/>
          <w:highlight w:val="none"/>
        </w:rPr>
        <w:id w:val="147458163"/>
        <w15:color w:val="DBDBDB"/>
        <w:docPartObj>
          <w:docPartGallery w:val="Table of Contents"/>
          <w:docPartUnique/>
        </w:docPartObj>
      </w:sdtPr>
      <w:sdtEndPr>
        <w:rPr>
          <w:rFonts w:hint="eastAsia" w:ascii="黑体" w:hAnsi="黑体" w:eastAsia="黑体"/>
          <w:snapToGrid w:val="0"/>
          <w:color w:val="auto"/>
          <w:kern w:val="0"/>
          <w:sz w:val="24"/>
          <w:szCs w:val="30"/>
          <w:highlight w:val="none"/>
        </w:rPr>
      </w:sdtEndPr>
      <w:sdtContent>
        <w:p>
          <w:pPr>
            <w:jc w:val="center"/>
            <w:rPr>
              <w:color w:val="auto"/>
              <w:highlight w:val="none"/>
            </w:rPr>
          </w:pPr>
          <w:r>
            <w:rPr>
              <w:rFonts w:hint="eastAsia" w:ascii="黑体" w:hAnsi="黑体" w:eastAsia="黑体" w:cs="黑体"/>
              <w:b/>
              <w:bCs/>
              <w:color w:val="auto"/>
              <w:sz w:val="30"/>
              <w:szCs w:val="30"/>
              <w:highlight w:val="none"/>
            </w:rPr>
            <w:t>目录</w:t>
          </w:r>
        </w:p>
        <w:p>
          <w:pPr>
            <w:pStyle w:val="14"/>
            <w:tabs>
              <w:tab w:val="right" w:leader="dot" w:pos="9298"/>
              <w:tab w:val="clear" w:pos="9061"/>
            </w:tabs>
            <w:adjustRightInd w:val="0"/>
            <w:snapToGrid w:val="0"/>
            <w:spacing w:line="360" w:lineRule="auto"/>
            <w:rPr>
              <w:color w:val="auto"/>
              <w:sz w:val="24"/>
              <w:szCs w:val="24"/>
              <w:highlight w:val="none"/>
            </w:rPr>
          </w:pPr>
          <w:r>
            <w:rPr>
              <w:rFonts w:hint="eastAsia" w:ascii="宋体" w:hAnsi="宋体" w:cs="宋体"/>
              <w:snapToGrid w:val="0"/>
              <w:color w:val="auto"/>
              <w:sz w:val="24"/>
              <w:szCs w:val="24"/>
              <w:highlight w:val="none"/>
            </w:rPr>
            <w:fldChar w:fldCharType="begin"/>
          </w:r>
          <w:r>
            <w:rPr>
              <w:rFonts w:hint="eastAsia" w:ascii="宋体" w:hAnsi="宋体" w:cs="宋体"/>
              <w:snapToGrid w:val="0"/>
              <w:color w:val="auto"/>
              <w:sz w:val="24"/>
              <w:szCs w:val="24"/>
              <w:highlight w:val="none"/>
            </w:rPr>
            <w:instrText xml:space="preserve">TOC \o "1-1" \h \u </w:instrText>
          </w:r>
          <w:r>
            <w:rPr>
              <w:rFonts w:hint="eastAsia" w:ascii="宋体" w:hAnsi="宋体" w:cs="宋体"/>
              <w:snapToGrid w:val="0"/>
              <w:color w:val="auto"/>
              <w:sz w:val="24"/>
              <w:szCs w:val="24"/>
              <w:highlight w:val="none"/>
            </w:rPr>
            <w:fldChar w:fldCharType="separate"/>
          </w:r>
          <w:r>
            <w:rPr>
              <w:color w:val="auto"/>
              <w:highlight w:val="none"/>
            </w:rPr>
            <w:fldChar w:fldCharType="begin"/>
          </w:r>
          <w:r>
            <w:rPr>
              <w:color w:val="auto"/>
              <w:highlight w:val="none"/>
            </w:rPr>
            <w:instrText xml:space="preserve"> HYPERLINK \l "_Toc28875" </w:instrText>
          </w:r>
          <w:r>
            <w:rPr>
              <w:color w:val="auto"/>
              <w:highlight w:val="none"/>
            </w:rPr>
            <w:fldChar w:fldCharType="separate"/>
          </w:r>
          <w:r>
            <w:rPr>
              <w:snapToGrid w:val="0"/>
              <w:color w:val="auto"/>
              <w:sz w:val="24"/>
              <w:szCs w:val="24"/>
              <w:highlight w:val="none"/>
            </w:rPr>
            <w:t>一、建设项目基本情况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_Toc28875 \h </w:instrText>
          </w:r>
          <w:r>
            <w:rPr>
              <w:color w:val="auto"/>
              <w:sz w:val="24"/>
              <w:szCs w:val="24"/>
              <w:highlight w:val="none"/>
            </w:rPr>
            <w:fldChar w:fldCharType="separate"/>
          </w:r>
          <w:r>
            <w:rPr>
              <w:color w:val="auto"/>
              <w:sz w:val="24"/>
              <w:szCs w:val="24"/>
              <w:highlight w:val="none"/>
            </w:rPr>
            <w:t>1</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"_Toc4090" </w:instrText>
          </w:r>
          <w:r>
            <w:rPr>
              <w:color w:val="auto"/>
              <w:highlight w:val="none"/>
            </w:rPr>
            <w:fldChar w:fldCharType="separate"/>
          </w:r>
          <w:r>
            <w:rPr>
              <w:snapToGrid w:val="0"/>
              <w:color w:val="auto"/>
              <w:sz w:val="24"/>
              <w:szCs w:val="24"/>
              <w:highlight w:val="none"/>
            </w:rPr>
            <w:t>二、建设项目工程分析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_Toc4090 \h </w:instrText>
          </w:r>
          <w:r>
            <w:rPr>
              <w:color w:val="auto"/>
              <w:sz w:val="24"/>
              <w:szCs w:val="24"/>
              <w:highlight w:val="none"/>
            </w:rPr>
            <w:fldChar w:fldCharType="separate"/>
          </w:r>
          <w:r>
            <w:rPr>
              <w:color w:val="auto"/>
              <w:sz w:val="24"/>
              <w:szCs w:val="24"/>
              <w:highlight w:val="none"/>
            </w:rPr>
            <w:t>14</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"_Toc12231" </w:instrText>
          </w:r>
          <w:r>
            <w:rPr>
              <w:color w:val="auto"/>
              <w:highlight w:val="none"/>
            </w:rPr>
            <w:fldChar w:fldCharType="separate"/>
          </w:r>
          <w:r>
            <w:rPr>
              <w:snapToGrid w:val="0"/>
              <w:color w:val="auto"/>
              <w:sz w:val="24"/>
              <w:szCs w:val="24"/>
              <w:highlight w:val="none"/>
            </w:rPr>
            <w:t>三、区域环境质量现状、环境保护目标及评价标准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_Toc12231 \h </w:instrText>
          </w:r>
          <w:r>
            <w:rPr>
              <w:color w:val="auto"/>
              <w:sz w:val="24"/>
              <w:szCs w:val="24"/>
              <w:highlight w:val="none"/>
            </w:rPr>
            <w:fldChar w:fldCharType="separate"/>
          </w:r>
          <w:r>
            <w:rPr>
              <w:color w:val="auto"/>
              <w:sz w:val="24"/>
              <w:szCs w:val="24"/>
              <w:highlight w:val="none"/>
            </w:rPr>
            <w:t>40</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"_Toc9092" </w:instrText>
          </w:r>
          <w:r>
            <w:rPr>
              <w:color w:val="auto"/>
              <w:highlight w:val="none"/>
            </w:rPr>
            <w:fldChar w:fldCharType="separate"/>
          </w:r>
          <w:r>
            <w:rPr>
              <w:snapToGrid w:val="0"/>
              <w:color w:val="auto"/>
              <w:sz w:val="24"/>
              <w:szCs w:val="24"/>
              <w:highlight w:val="none"/>
            </w:rPr>
            <w:t>四、主要环境影响和保护措施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_Toc9092 \h </w:instrText>
          </w:r>
          <w:r>
            <w:rPr>
              <w:color w:val="auto"/>
              <w:sz w:val="24"/>
              <w:szCs w:val="24"/>
              <w:highlight w:val="none"/>
            </w:rPr>
            <w:fldChar w:fldCharType="separate"/>
          </w:r>
          <w:r>
            <w:rPr>
              <w:color w:val="auto"/>
              <w:sz w:val="24"/>
              <w:szCs w:val="24"/>
              <w:highlight w:val="none"/>
            </w:rPr>
            <w:t>47</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"_Toc11599" </w:instrText>
          </w:r>
          <w:r>
            <w:rPr>
              <w:color w:val="auto"/>
              <w:highlight w:val="none"/>
            </w:rPr>
            <w:fldChar w:fldCharType="separate"/>
          </w:r>
          <w:r>
            <w:rPr>
              <w:snapToGrid w:val="0"/>
              <w:color w:val="auto"/>
              <w:sz w:val="24"/>
              <w:szCs w:val="24"/>
              <w:highlight w:val="none"/>
            </w:rPr>
            <w:t>五、环境保护措施监督检查清单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_Toc11599 \h </w:instrText>
          </w:r>
          <w:r>
            <w:rPr>
              <w:color w:val="auto"/>
              <w:sz w:val="24"/>
              <w:szCs w:val="24"/>
              <w:highlight w:val="none"/>
            </w:rPr>
            <w:fldChar w:fldCharType="separate"/>
          </w:r>
          <w:r>
            <w:rPr>
              <w:color w:val="auto"/>
              <w:sz w:val="24"/>
              <w:szCs w:val="24"/>
              <w:highlight w:val="none"/>
            </w:rPr>
            <w:t>103</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color w:val="auto"/>
              <w:sz w:val="24"/>
              <w:szCs w:val="24"/>
              <w:highlight w:val="none"/>
            </w:rPr>
          </w:pPr>
          <w:r>
            <w:rPr>
              <w:color w:val="auto"/>
              <w:highlight w:val="none"/>
            </w:rPr>
            <w:fldChar w:fldCharType="begin"/>
          </w:r>
          <w:r>
            <w:rPr>
              <w:color w:val="auto"/>
              <w:highlight w:val="none"/>
            </w:rPr>
            <w:instrText xml:space="preserve"> HYPERLINK \l "_Toc1432" </w:instrText>
          </w:r>
          <w:r>
            <w:rPr>
              <w:color w:val="auto"/>
              <w:highlight w:val="none"/>
            </w:rPr>
            <w:fldChar w:fldCharType="separate"/>
          </w:r>
          <w:r>
            <w:rPr>
              <w:snapToGrid w:val="0"/>
              <w:color w:val="auto"/>
              <w:sz w:val="24"/>
              <w:szCs w:val="24"/>
              <w:highlight w:val="none"/>
            </w:rPr>
            <w:t>六、结论</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_Toc1432 \h </w:instrText>
          </w:r>
          <w:r>
            <w:rPr>
              <w:color w:val="auto"/>
              <w:sz w:val="24"/>
              <w:szCs w:val="24"/>
              <w:highlight w:val="none"/>
            </w:rPr>
            <w:fldChar w:fldCharType="separate"/>
          </w:r>
          <w:r>
            <w:rPr>
              <w:color w:val="auto"/>
              <w:sz w:val="24"/>
              <w:szCs w:val="24"/>
              <w:highlight w:val="none"/>
            </w:rPr>
            <w:t>111</w:t>
          </w:r>
          <w:r>
            <w:rPr>
              <w:color w:val="auto"/>
              <w:sz w:val="24"/>
              <w:szCs w:val="24"/>
              <w:highlight w:val="none"/>
            </w:rPr>
            <w:fldChar w:fldCharType="end"/>
          </w:r>
          <w:r>
            <w:rPr>
              <w:color w:val="auto"/>
              <w:sz w:val="24"/>
              <w:szCs w:val="24"/>
              <w:highlight w:val="none"/>
            </w:rPr>
            <w:fldChar w:fldCharType="end"/>
          </w:r>
        </w:p>
        <w:p>
          <w:pPr>
            <w:pStyle w:val="14"/>
            <w:tabs>
              <w:tab w:val="right" w:leader="dot" w:pos="9298"/>
              <w:tab w:val="clear" w:pos="9061"/>
            </w:tabs>
            <w:adjustRightInd w:val="0"/>
            <w:snapToGrid w:val="0"/>
            <w:spacing w:line="360" w:lineRule="auto"/>
            <w:rPr>
              <w:b w:val="0"/>
              <w:bCs/>
              <w:color w:val="auto"/>
              <w:sz w:val="24"/>
              <w:szCs w:val="24"/>
              <w:highlight w:val="none"/>
            </w:rPr>
          </w:pPr>
          <w:r>
            <w:rPr>
              <w:color w:val="auto"/>
              <w:highlight w:val="none"/>
            </w:rPr>
            <w:fldChar w:fldCharType="begin"/>
          </w:r>
          <w:r>
            <w:rPr>
              <w:color w:val="auto"/>
              <w:highlight w:val="none"/>
            </w:rPr>
            <w:instrText xml:space="preserve"> HYPERLINK \l "_Toc28075" </w:instrText>
          </w:r>
          <w:r>
            <w:rPr>
              <w:color w:val="auto"/>
              <w:highlight w:val="none"/>
            </w:rPr>
            <w:fldChar w:fldCharType="separate"/>
          </w:r>
          <w:r>
            <w:rPr>
              <w:b w:val="0"/>
              <w:bCs/>
              <w:snapToGrid w:val="0"/>
              <w:color w:val="auto"/>
              <w:sz w:val="24"/>
              <w:szCs w:val="24"/>
              <w:highlight w:val="none"/>
            </w:rPr>
            <w:t>附表</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_Toc28075 \h </w:instrText>
          </w:r>
          <w:r>
            <w:rPr>
              <w:b w:val="0"/>
              <w:bCs/>
              <w:color w:val="auto"/>
              <w:sz w:val="24"/>
              <w:szCs w:val="24"/>
              <w:highlight w:val="none"/>
            </w:rPr>
            <w:fldChar w:fldCharType="separate"/>
          </w:r>
          <w:r>
            <w:rPr>
              <w:b w:val="0"/>
              <w:bCs/>
              <w:color w:val="auto"/>
              <w:sz w:val="24"/>
              <w:szCs w:val="24"/>
              <w:highlight w:val="none"/>
            </w:rPr>
            <w:t>112</w:t>
          </w:r>
          <w:r>
            <w:rPr>
              <w:b w:val="0"/>
              <w:bCs/>
              <w:color w:val="auto"/>
              <w:sz w:val="24"/>
              <w:szCs w:val="24"/>
              <w:highlight w:val="none"/>
            </w:rPr>
            <w:fldChar w:fldCharType="end"/>
          </w:r>
          <w:r>
            <w:rPr>
              <w:b w:val="0"/>
              <w:bCs/>
              <w:color w:val="auto"/>
              <w:sz w:val="24"/>
              <w:szCs w:val="24"/>
              <w:highlight w:val="none"/>
            </w:rPr>
            <w:fldChar w:fldCharType="end"/>
          </w:r>
        </w:p>
        <w:p>
          <w:pPr>
            <w:pStyle w:val="14"/>
            <w:tabs>
              <w:tab w:val="right" w:leader="dot" w:pos="9298"/>
              <w:tab w:val="clear" w:pos="9061"/>
            </w:tabs>
            <w:adjustRightInd w:val="0"/>
            <w:snapToGrid w:val="0"/>
            <w:spacing w:line="360" w:lineRule="auto"/>
            <w:rPr>
              <w:rFonts w:hint="eastAsia" w:ascii="宋体" w:hAnsi="宋体" w:cs="宋体"/>
              <w:color w:val="auto"/>
              <w:sz w:val="24"/>
              <w:szCs w:val="24"/>
              <w:highlight w:val="none"/>
            </w:rPr>
          </w:pPr>
        </w:p>
        <w:p>
          <w:pPr>
            <w:pStyle w:val="16"/>
            <w:adjustRightInd w:val="0"/>
            <w:snapToGrid w:val="0"/>
            <w:spacing w:line="360" w:lineRule="auto"/>
            <w:jc w:val="both"/>
            <w:rPr>
              <w:rFonts w:hint="eastAsia" w:cs="宋体"/>
              <w:snapToGrid w:val="0"/>
              <w:color w:val="auto"/>
              <w:szCs w:val="24"/>
              <w:highlight w:val="none"/>
            </w:rPr>
            <w:sectPr>
              <w:footerReference r:id="rId5" w:type="default"/>
              <w:pgSz w:w="11906" w:h="16838"/>
              <w:pgMar w:top="1417" w:right="1304" w:bottom="1304" w:left="1304" w:header="851" w:footer="992" w:gutter="0"/>
              <w:pgNumType w:start="1"/>
              <w:cols w:space="425" w:num="1"/>
              <w:docGrid w:type="lines" w:linePitch="312" w:charSpace="0"/>
            </w:sectPr>
          </w:pPr>
        </w:p>
        <w:p>
          <w:pPr>
            <w:pStyle w:val="16"/>
            <w:adjustRightInd w:val="0"/>
            <w:snapToGrid w:val="0"/>
            <w:spacing w:line="360" w:lineRule="auto"/>
            <w:jc w:val="both"/>
            <w:rPr>
              <w:rFonts w:hint="eastAsia"/>
              <w:color w:val="auto"/>
              <w:highlight w:val="none"/>
            </w:rPr>
          </w:pPr>
          <w:r>
            <w:rPr>
              <w:rFonts w:hint="eastAsia" w:cs="宋体"/>
              <w:snapToGrid w:val="0"/>
              <w:color w:val="auto"/>
              <w:szCs w:val="24"/>
              <w:highlight w:val="none"/>
            </w:rPr>
            <w:fldChar w:fldCharType="end"/>
          </w:r>
        </w:p>
      </w:sdtContent>
    </w:sdt>
    <w:p>
      <w:pPr>
        <w:pStyle w:val="16"/>
        <w:jc w:val="center"/>
        <w:outlineLvl w:val="0"/>
        <w:rPr>
          <w:rFonts w:hint="eastAsia" w:ascii="黑体" w:hAnsi="黑体" w:eastAsia="黑体"/>
          <w:snapToGrid w:val="0"/>
          <w:color w:val="auto"/>
          <w:sz w:val="30"/>
          <w:szCs w:val="30"/>
          <w:highlight w:val="none"/>
        </w:rPr>
      </w:pPr>
      <w:bookmarkStart w:id="3" w:name="_Toc28875"/>
      <w:r>
        <w:rPr>
          <w:rFonts w:hint="eastAsia" w:ascii="黑体" w:hAnsi="黑体" w:eastAsia="黑体"/>
          <w:snapToGrid w:val="0"/>
          <w:color w:val="auto"/>
          <w:sz w:val="30"/>
          <w:szCs w:val="30"/>
          <w:highlight w:val="none"/>
        </w:rPr>
        <w:t>一、建设项目基本情况</w:t>
      </w:r>
      <w:bookmarkEnd w:id="3"/>
    </w:p>
    <w:tbl>
      <w:tblPr>
        <w:tblStyle w:val="20"/>
        <w:tblW w:w="492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78"/>
        <w:gridCol w:w="1136"/>
        <w:gridCol w:w="2239"/>
        <w:gridCol w:w="2290"/>
        <w:gridCol w:w="27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建设项目名称</w:t>
            </w:r>
          </w:p>
        </w:tc>
        <w:tc>
          <w:tcPr>
            <w:tcW w:w="3958" w:type="pct"/>
            <w:gridSpan w:val="3"/>
            <w:vAlign w:val="center"/>
          </w:tcPr>
          <w:p>
            <w:pPr>
              <w:adjustRightInd w:val="0"/>
              <w:snapToGrid w:val="0"/>
              <w:jc w:val="center"/>
              <w:rPr>
                <w:rFonts w:hint="eastAsia" w:eastAsia="宋体"/>
                <w:color w:val="auto"/>
                <w:szCs w:val="21"/>
                <w:highlight w:val="none"/>
                <w:lang w:eastAsia="zh-CN"/>
              </w:rPr>
            </w:pPr>
            <w:r>
              <w:rPr>
                <w:rFonts w:hint="eastAsia"/>
                <w:color w:val="auto"/>
                <w:szCs w:val="21"/>
                <w:highlight w:val="none"/>
                <w:lang w:eastAsia="zh-CN"/>
              </w:rPr>
              <w:t>中矿宁德保税物流中心（B型）混矿项目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项目代码</w:t>
            </w:r>
          </w:p>
        </w:tc>
        <w:tc>
          <w:tcPr>
            <w:tcW w:w="3958" w:type="pct"/>
            <w:gridSpan w:val="3"/>
            <w:vAlign w:val="center"/>
          </w:tcPr>
          <w:p>
            <w:pPr>
              <w:adjustRightInd w:val="0"/>
              <w:snapToGrid w:val="0"/>
              <w:jc w:val="center"/>
              <w:rPr>
                <w:color w:val="auto"/>
                <w:szCs w:val="21"/>
                <w:highlight w:val="none"/>
              </w:rPr>
            </w:pPr>
            <w:r>
              <w:rPr>
                <w:rFonts w:hint="eastAsia"/>
                <w:color w:val="auto"/>
                <w:szCs w:val="21"/>
                <w:highlight w:val="none"/>
              </w:rPr>
              <w:t>2603-350902-04-01-405627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建设单位联系人</w:t>
            </w:r>
          </w:p>
        </w:tc>
        <w:tc>
          <w:tcPr>
            <w:tcW w:w="1219" w:type="pct"/>
            <w:vAlign w:val="center"/>
          </w:tcPr>
          <w:p>
            <w:pPr>
              <w:adjustRightInd w:val="0"/>
              <w:snapToGrid w:val="0"/>
              <w:jc w:val="center"/>
              <w:rPr>
                <w:color w:val="auto"/>
                <w:szCs w:val="21"/>
                <w:highlight w:val="none"/>
              </w:rPr>
            </w:pPr>
            <w:r>
              <w:rPr>
                <w:rFonts w:hint="eastAsia"/>
                <w:color w:val="auto"/>
                <w:szCs w:val="21"/>
                <w:highlight w:val="none"/>
              </w:rPr>
              <w:t>吴东明</w:t>
            </w:r>
          </w:p>
        </w:tc>
        <w:tc>
          <w:tcPr>
            <w:tcW w:w="1247" w:type="pct"/>
            <w:vAlign w:val="center"/>
          </w:tcPr>
          <w:p>
            <w:pPr>
              <w:adjustRightInd w:val="0"/>
              <w:snapToGrid w:val="0"/>
              <w:jc w:val="center"/>
              <w:rPr>
                <w:color w:val="auto"/>
                <w:szCs w:val="21"/>
                <w:highlight w:val="none"/>
              </w:rPr>
            </w:pPr>
            <w:r>
              <w:rPr>
                <w:color w:val="auto"/>
                <w:szCs w:val="21"/>
                <w:highlight w:val="none"/>
              </w:rPr>
              <w:t>联系方式</w:t>
            </w:r>
          </w:p>
        </w:tc>
        <w:tc>
          <w:tcPr>
            <w:tcW w:w="1491" w:type="pct"/>
            <w:vAlign w:val="center"/>
          </w:tcPr>
          <w:p>
            <w:pPr>
              <w:adjustRightInd w:val="0"/>
              <w:snapToGrid w:val="0"/>
              <w:jc w:val="center"/>
              <w:rPr>
                <w:color w:val="auto"/>
                <w:szCs w:val="21"/>
                <w:highlight w:val="none"/>
              </w:rPr>
            </w:pPr>
            <w:r>
              <w:rPr>
                <w:rFonts w:hint="eastAsia"/>
                <w:color w:val="auto"/>
                <w:szCs w:val="21"/>
                <w:highlight w:val="none"/>
              </w:rPr>
              <w:t>15659327566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建设地点</w:t>
            </w:r>
          </w:p>
        </w:tc>
        <w:tc>
          <w:tcPr>
            <w:tcW w:w="3958" w:type="pct"/>
            <w:gridSpan w:val="3"/>
            <w:vAlign w:val="center"/>
          </w:tcPr>
          <w:p>
            <w:pPr>
              <w:adjustRightInd w:val="0"/>
              <w:snapToGrid w:val="0"/>
              <w:jc w:val="center"/>
              <w:rPr>
                <w:color w:val="auto"/>
                <w:szCs w:val="21"/>
                <w:highlight w:val="none"/>
              </w:rPr>
            </w:pPr>
            <w:r>
              <w:rPr>
                <w:color w:val="auto"/>
                <w:kern w:val="0"/>
                <w:szCs w:val="21"/>
                <w:highlight w:val="none"/>
              </w:rPr>
              <w:t>福建省宁德市蕉城区宁德保税物流中心（B型）</w:t>
            </w:r>
            <w:r>
              <w:rPr>
                <w:rFonts w:hint="eastAsia"/>
                <w:color w:val="auto"/>
                <w:kern w:val="0"/>
                <w:szCs w:val="21"/>
                <w:highlight w:val="none"/>
              </w:rPr>
              <w:t>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地理坐标</w:t>
            </w:r>
          </w:p>
        </w:tc>
        <w:tc>
          <w:tcPr>
            <w:tcW w:w="3958" w:type="pct"/>
            <w:gridSpan w:val="3"/>
            <w:vAlign w:val="center"/>
          </w:tcPr>
          <w:p>
            <w:pPr>
              <w:jc w:val="center"/>
              <w:rPr>
                <w:color w:val="auto"/>
                <w:szCs w:val="21"/>
                <w:highlight w:val="none"/>
              </w:rPr>
            </w:pPr>
            <w:r>
              <w:rPr>
                <w:color w:val="auto"/>
                <w:szCs w:val="21"/>
                <w:highlight w:val="none"/>
              </w:rPr>
              <w:t>（</w:t>
            </w:r>
            <w:r>
              <w:rPr>
                <w:color w:val="auto"/>
                <w:szCs w:val="21"/>
                <w:highlight w:val="none"/>
                <w:u w:val="single"/>
              </w:rPr>
              <w:t xml:space="preserve">  </w:t>
            </w:r>
            <w:r>
              <w:rPr>
                <w:rFonts w:hint="eastAsia"/>
                <w:color w:val="auto"/>
                <w:szCs w:val="21"/>
                <w:highlight w:val="none"/>
                <w:u w:val="single"/>
              </w:rPr>
              <w:t>119</w:t>
            </w:r>
            <w:r>
              <w:rPr>
                <w:color w:val="auto"/>
                <w:szCs w:val="21"/>
                <w:highlight w:val="none"/>
                <w:u w:val="single"/>
              </w:rPr>
              <w:t xml:space="preserve">  </w:t>
            </w:r>
            <w:r>
              <w:rPr>
                <w:color w:val="auto"/>
                <w:szCs w:val="21"/>
                <w:highlight w:val="none"/>
              </w:rPr>
              <w:t>度</w:t>
            </w:r>
            <w:r>
              <w:rPr>
                <w:color w:val="auto"/>
                <w:szCs w:val="21"/>
                <w:highlight w:val="none"/>
                <w:u w:val="single"/>
              </w:rPr>
              <w:t xml:space="preserve">  </w:t>
            </w:r>
            <w:r>
              <w:rPr>
                <w:rFonts w:hint="eastAsia"/>
                <w:color w:val="auto"/>
                <w:szCs w:val="21"/>
                <w:highlight w:val="none"/>
                <w:u w:val="single"/>
              </w:rPr>
              <w:t>38</w:t>
            </w:r>
            <w:r>
              <w:rPr>
                <w:color w:val="auto"/>
                <w:szCs w:val="21"/>
                <w:highlight w:val="none"/>
                <w:u w:val="single"/>
              </w:rPr>
              <w:t xml:space="preserve">  </w:t>
            </w:r>
            <w:r>
              <w:rPr>
                <w:color w:val="auto"/>
                <w:szCs w:val="21"/>
                <w:highlight w:val="none"/>
              </w:rPr>
              <w:t>分</w:t>
            </w:r>
            <w:r>
              <w:rPr>
                <w:color w:val="auto"/>
                <w:szCs w:val="21"/>
                <w:highlight w:val="none"/>
                <w:u w:val="single"/>
              </w:rPr>
              <w:t xml:space="preserve">  </w:t>
            </w:r>
            <w:r>
              <w:rPr>
                <w:rFonts w:hint="eastAsia"/>
                <w:color w:val="auto"/>
                <w:szCs w:val="21"/>
                <w:highlight w:val="none"/>
                <w:u w:val="single"/>
                <w:lang w:val="en-US" w:eastAsia="zh-CN"/>
              </w:rPr>
              <w:t>33.12</w:t>
            </w:r>
            <w:r>
              <w:rPr>
                <w:color w:val="auto"/>
                <w:szCs w:val="21"/>
                <w:highlight w:val="none"/>
                <w:u w:val="single"/>
              </w:rPr>
              <w:t xml:space="preserve">  </w:t>
            </w:r>
            <w:r>
              <w:rPr>
                <w:color w:val="auto"/>
                <w:szCs w:val="21"/>
                <w:highlight w:val="none"/>
              </w:rPr>
              <w:t>秒，</w:t>
            </w:r>
            <w:r>
              <w:rPr>
                <w:color w:val="auto"/>
                <w:szCs w:val="21"/>
                <w:highlight w:val="none"/>
                <w:u w:val="single"/>
              </w:rPr>
              <w:t xml:space="preserve">  </w:t>
            </w:r>
            <w:r>
              <w:rPr>
                <w:rFonts w:hint="eastAsia"/>
                <w:color w:val="auto"/>
                <w:szCs w:val="21"/>
                <w:highlight w:val="none"/>
                <w:u w:val="single"/>
              </w:rPr>
              <w:t>26</w:t>
            </w:r>
            <w:r>
              <w:rPr>
                <w:color w:val="auto"/>
                <w:szCs w:val="21"/>
                <w:highlight w:val="none"/>
                <w:u w:val="single"/>
              </w:rPr>
              <w:t xml:space="preserve">  </w:t>
            </w:r>
            <w:r>
              <w:rPr>
                <w:color w:val="auto"/>
                <w:szCs w:val="21"/>
                <w:highlight w:val="none"/>
              </w:rPr>
              <w:t>度</w:t>
            </w:r>
            <w:r>
              <w:rPr>
                <w:color w:val="auto"/>
                <w:szCs w:val="21"/>
                <w:highlight w:val="none"/>
                <w:u w:val="single"/>
              </w:rPr>
              <w:t xml:space="preserve">  </w:t>
            </w:r>
            <w:r>
              <w:rPr>
                <w:rFonts w:hint="eastAsia"/>
                <w:color w:val="auto"/>
                <w:szCs w:val="21"/>
                <w:highlight w:val="none"/>
                <w:u w:val="single"/>
              </w:rPr>
              <w:t>4</w:t>
            </w:r>
            <w:r>
              <w:rPr>
                <w:rFonts w:hint="eastAsia"/>
                <w:color w:val="auto"/>
                <w:szCs w:val="21"/>
                <w:highlight w:val="none"/>
                <w:u w:val="single"/>
                <w:lang w:val="en-US" w:eastAsia="zh-CN"/>
              </w:rPr>
              <w:t>3</w:t>
            </w:r>
            <w:r>
              <w:rPr>
                <w:color w:val="auto"/>
                <w:szCs w:val="21"/>
                <w:highlight w:val="none"/>
                <w:u w:val="single"/>
              </w:rPr>
              <w:t xml:space="preserve">  </w:t>
            </w:r>
            <w:r>
              <w:rPr>
                <w:color w:val="auto"/>
                <w:szCs w:val="21"/>
                <w:highlight w:val="none"/>
              </w:rPr>
              <w:t>分</w:t>
            </w:r>
            <w:r>
              <w:rPr>
                <w:color w:val="auto"/>
                <w:szCs w:val="21"/>
                <w:highlight w:val="none"/>
                <w:u w:val="single"/>
              </w:rPr>
              <w:t xml:space="preserve"> </w:t>
            </w:r>
            <w:r>
              <w:rPr>
                <w:rFonts w:hint="eastAsia"/>
                <w:color w:val="auto"/>
                <w:szCs w:val="21"/>
                <w:highlight w:val="none"/>
                <w:u w:val="single"/>
                <w:lang w:val="en-US" w:eastAsia="zh-CN"/>
              </w:rPr>
              <w:t>55.54</w:t>
            </w:r>
            <w:r>
              <w:rPr>
                <w:color w:val="auto"/>
                <w:szCs w:val="21"/>
                <w:highlight w:val="none"/>
                <w:u w:val="single"/>
              </w:rPr>
              <w:t xml:space="preserve"> </w:t>
            </w:r>
            <w:r>
              <w:rPr>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国民经济</w:t>
            </w:r>
          </w:p>
          <w:p>
            <w:pPr>
              <w:adjustRightInd w:val="0"/>
              <w:snapToGrid w:val="0"/>
              <w:jc w:val="center"/>
              <w:rPr>
                <w:color w:val="auto"/>
                <w:szCs w:val="21"/>
                <w:highlight w:val="none"/>
              </w:rPr>
            </w:pPr>
            <w:r>
              <w:rPr>
                <w:color w:val="auto"/>
                <w:szCs w:val="21"/>
                <w:highlight w:val="none"/>
              </w:rPr>
              <w:t>行业类别</w:t>
            </w:r>
          </w:p>
        </w:tc>
        <w:tc>
          <w:tcPr>
            <w:tcW w:w="1219" w:type="pct"/>
            <w:vAlign w:val="center"/>
          </w:tcPr>
          <w:p>
            <w:pPr>
              <w:adjustRightInd w:val="0"/>
              <w:snapToGrid w:val="0"/>
              <w:jc w:val="left"/>
              <w:rPr>
                <w:color w:val="auto"/>
                <w:szCs w:val="21"/>
                <w:highlight w:val="none"/>
              </w:rPr>
            </w:pPr>
            <w:r>
              <w:rPr>
                <w:rFonts w:hint="eastAsia"/>
                <w:color w:val="auto"/>
                <w:szCs w:val="21"/>
                <w:highlight w:val="none"/>
              </w:rPr>
              <w:t>B0911 铜矿采选</w:t>
            </w:r>
          </w:p>
        </w:tc>
        <w:tc>
          <w:tcPr>
            <w:tcW w:w="1247" w:type="pct"/>
            <w:vAlign w:val="center"/>
          </w:tcPr>
          <w:p>
            <w:pPr>
              <w:adjustRightInd w:val="0"/>
              <w:snapToGrid w:val="0"/>
              <w:jc w:val="center"/>
              <w:rPr>
                <w:color w:val="auto"/>
                <w:szCs w:val="21"/>
                <w:highlight w:val="none"/>
              </w:rPr>
            </w:pPr>
            <w:bookmarkStart w:id="4" w:name="_Hlk49843745"/>
            <w:r>
              <w:rPr>
                <w:color w:val="auto"/>
                <w:szCs w:val="21"/>
                <w:highlight w:val="none"/>
              </w:rPr>
              <w:t>建设项目</w:t>
            </w:r>
          </w:p>
          <w:p>
            <w:pPr>
              <w:adjustRightInd w:val="0"/>
              <w:snapToGrid w:val="0"/>
              <w:jc w:val="center"/>
              <w:rPr>
                <w:color w:val="auto"/>
                <w:szCs w:val="21"/>
                <w:highlight w:val="none"/>
              </w:rPr>
            </w:pPr>
            <w:r>
              <w:rPr>
                <w:color w:val="auto"/>
                <w:szCs w:val="21"/>
                <w:highlight w:val="none"/>
              </w:rPr>
              <w:t>行业类别</w:t>
            </w:r>
            <w:bookmarkEnd w:id="4"/>
          </w:p>
        </w:tc>
        <w:tc>
          <w:tcPr>
            <w:tcW w:w="1491" w:type="pct"/>
            <w:vAlign w:val="center"/>
          </w:tcPr>
          <w:p>
            <w:pPr>
              <w:adjustRightInd w:val="0"/>
              <w:snapToGrid w:val="0"/>
              <w:rPr>
                <w:color w:val="auto"/>
                <w:szCs w:val="21"/>
                <w:highlight w:val="none"/>
              </w:rPr>
            </w:pPr>
            <w:r>
              <w:rPr>
                <w:rFonts w:hint="eastAsia"/>
                <w:color w:val="auto"/>
                <w:szCs w:val="21"/>
                <w:highlight w:val="none"/>
              </w:rPr>
              <w:t>七、有色金属矿采选业 09—</w:t>
            </w:r>
          </w:p>
          <w:p>
            <w:pPr>
              <w:adjustRightInd w:val="0"/>
              <w:snapToGrid w:val="0"/>
              <w:rPr>
                <w:color w:val="auto"/>
                <w:szCs w:val="21"/>
                <w:highlight w:val="none"/>
              </w:rPr>
            </w:pPr>
            <w:r>
              <w:rPr>
                <w:rFonts w:hint="eastAsia"/>
                <w:color w:val="auto"/>
                <w:szCs w:val="21"/>
                <w:highlight w:val="none"/>
              </w:rPr>
              <w:t>10 常用有色金属矿采选 091 —单独的矿石破碎、集运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建设性质</w:t>
            </w:r>
          </w:p>
        </w:tc>
        <w:tc>
          <w:tcPr>
            <w:tcW w:w="1219" w:type="pct"/>
            <w:vAlign w:val="center"/>
          </w:tcPr>
          <w:p>
            <w:pPr>
              <w:jc w:val="left"/>
              <w:rPr>
                <w:color w:val="auto"/>
                <w:szCs w:val="21"/>
                <w:highlight w:val="none"/>
              </w:rPr>
            </w:pPr>
            <w:r>
              <w:rPr>
                <w:color w:val="auto"/>
                <w:szCs w:val="21"/>
                <w:highlight w:val="none"/>
              </w:rPr>
              <w:sym w:font="Wingdings 2" w:char="0052"/>
            </w:r>
            <w:r>
              <w:rPr>
                <w:color w:val="auto"/>
                <w:szCs w:val="21"/>
                <w:highlight w:val="none"/>
              </w:rPr>
              <w:t>新建（迁建）</w:t>
            </w:r>
          </w:p>
          <w:p>
            <w:pPr>
              <w:jc w:val="left"/>
              <w:rPr>
                <w:color w:val="auto"/>
                <w:szCs w:val="21"/>
                <w:highlight w:val="none"/>
              </w:rPr>
            </w:pPr>
            <w:r>
              <w:rPr>
                <w:color w:val="auto"/>
                <w:szCs w:val="21"/>
                <w:highlight w:val="none"/>
              </w:rPr>
              <w:sym w:font="Wingdings 2" w:char="00A3"/>
            </w:r>
            <w:r>
              <w:rPr>
                <w:color w:val="auto"/>
                <w:szCs w:val="21"/>
                <w:highlight w:val="none"/>
              </w:rPr>
              <w:t>改建</w:t>
            </w:r>
          </w:p>
          <w:p>
            <w:pPr>
              <w:jc w:val="left"/>
              <w:rPr>
                <w:color w:val="auto"/>
                <w:szCs w:val="21"/>
                <w:highlight w:val="none"/>
              </w:rPr>
            </w:pPr>
            <w:r>
              <w:rPr>
                <w:color w:val="auto"/>
                <w:szCs w:val="21"/>
                <w:highlight w:val="none"/>
              </w:rPr>
              <w:sym w:font="Wingdings 2" w:char="00A3"/>
            </w:r>
            <w:r>
              <w:rPr>
                <w:color w:val="auto"/>
                <w:szCs w:val="21"/>
                <w:highlight w:val="none"/>
              </w:rPr>
              <w:t>扩建</w:t>
            </w:r>
          </w:p>
          <w:p>
            <w:pPr>
              <w:jc w:val="left"/>
              <w:rPr>
                <w:color w:val="auto"/>
                <w:szCs w:val="21"/>
                <w:highlight w:val="none"/>
              </w:rPr>
            </w:pPr>
            <w:r>
              <w:rPr>
                <w:color w:val="auto"/>
                <w:szCs w:val="21"/>
                <w:highlight w:val="none"/>
              </w:rPr>
              <w:sym w:font="Wingdings 2" w:char="00A3"/>
            </w:r>
            <w:r>
              <w:rPr>
                <w:color w:val="auto"/>
                <w:szCs w:val="21"/>
                <w:highlight w:val="none"/>
              </w:rPr>
              <w:t>技术改造</w:t>
            </w:r>
          </w:p>
        </w:tc>
        <w:tc>
          <w:tcPr>
            <w:tcW w:w="1247" w:type="pct"/>
            <w:vAlign w:val="center"/>
          </w:tcPr>
          <w:p>
            <w:pPr>
              <w:adjustRightInd w:val="0"/>
              <w:snapToGrid w:val="0"/>
              <w:jc w:val="center"/>
              <w:rPr>
                <w:color w:val="auto"/>
                <w:szCs w:val="21"/>
                <w:highlight w:val="none"/>
              </w:rPr>
            </w:pPr>
            <w:r>
              <w:rPr>
                <w:color w:val="auto"/>
                <w:szCs w:val="21"/>
                <w:highlight w:val="none"/>
              </w:rPr>
              <w:t>建设项目</w:t>
            </w:r>
          </w:p>
          <w:p>
            <w:pPr>
              <w:adjustRightInd w:val="0"/>
              <w:snapToGrid w:val="0"/>
              <w:jc w:val="center"/>
              <w:rPr>
                <w:color w:val="auto"/>
                <w:szCs w:val="21"/>
                <w:highlight w:val="none"/>
              </w:rPr>
            </w:pPr>
            <w:r>
              <w:rPr>
                <w:color w:val="auto"/>
                <w:szCs w:val="21"/>
                <w:highlight w:val="none"/>
              </w:rPr>
              <w:t>申报情形</w:t>
            </w:r>
          </w:p>
        </w:tc>
        <w:tc>
          <w:tcPr>
            <w:tcW w:w="1491" w:type="pct"/>
            <w:vAlign w:val="center"/>
          </w:tcPr>
          <w:p>
            <w:pPr>
              <w:jc w:val="left"/>
              <w:rPr>
                <w:color w:val="auto"/>
                <w:szCs w:val="21"/>
                <w:highlight w:val="none"/>
              </w:rPr>
            </w:pPr>
            <w:r>
              <w:rPr>
                <w:color w:val="auto"/>
                <w:szCs w:val="21"/>
                <w:highlight w:val="none"/>
              </w:rPr>
              <w:sym w:font="Wingdings 2" w:char="0052"/>
            </w:r>
            <w:r>
              <w:rPr>
                <w:color w:val="auto"/>
                <w:szCs w:val="21"/>
                <w:highlight w:val="none"/>
              </w:rPr>
              <w:t xml:space="preserve">首次申报项目             </w:t>
            </w:r>
          </w:p>
          <w:p>
            <w:pPr>
              <w:jc w:val="left"/>
              <w:rPr>
                <w:color w:val="auto"/>
                <w:szCs w:val="21"/>
                <w:highlight w:val="none"/>
              </w:rPr>
            </w:pPr>
            <w:r>
              <w:rPr>
                <w:color w:val="auto"/>
                <w:szCs w:val="21"/>
                <w:highlight w:val="none"/>
              </w:rPr>
              <w:sym w:font="Wingdings 2" w:char="00A3"/>
            </w:r>
            <w:r>
              <w:rPr>
                <w:color w:val="auto"/>
                <w:szCs w:val="21"/>
                <w:highlight w:val="none"/>
              </w:rPr>
              <w:t>不予批准后再次申报项目</w:t>
            </w:r>
          </w:p>
          <w:p>
            <w:pPr>
              <w:jc w:val="left"/>
              <w:rPr>
                <w:color w:val="auto"/>
                <w:szCs w:val="21"/>
                <w:highlight w:val="none"/>
              </w:rPr>
            </w:pPr>
            <w:r>
              <w:rPr>
                <w:color w:val="auto"/>
                <w:szCs w:val="21"/>
                <w:highlight w:val="none"/>
              </w:rPr>
              <w:sym w:font="Wingdings 2" w:char="00A3"/>
            </w:r>
            <w:r>
              <w:rPr>
                <w:color w:val="auto"/>
                <w:szCs w:val="21"/>
                <w:highlight w:val="none"/>
              </w:rPr>
              <w:t xml:space="preserve">超五年重新审核项目     </w:t>
            </w:r>
          </w:p>
          <w:p>
            <w:pPr>
              <w:jc w:val="left"/>
              <w:rPr>
                <w:color w:val="auto"/>
                <w:szCs w:val="21"/>
                <w:highlight w:val="none"/>
              </w:rPr>
            </w:pPr>
            <w:r>
              <w:rPr>
                <w:color w:val="auto"/>
                <w:szCs w:val="21"/>
                <w:highlight w:val="none"/>
              </w:rPr>
              <w:sym w:font="Wingdings 2" w:char="00A3"/>
            </w:r>
            <w:r>
              <w:rPr>
                <w:color w:val="auto"/>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项目审批（核准/</w:t>
            </w:r>
          </w:p>
          <w:p>
            <w:pPr>
              <w:adjustRightInd w:val="0"/>
              <w:snapToGrid w:val="0"/>
              <w:jc w:val="center"/>
              <w:rPr>
                <w:color w:val="auto"/>
                <w:szCs w:val="21"/>
                <w:highlight w:val="none"/>
              </w:rPr>
            </w:pPr>
            <w:r>
              <w:rPr>
                <w:color w:val="auto"/>
                <w:szCs w:val="21"/>
                <w:highlight w:val="none"/>
              </w:rPr>
              <w:t>备案）部门（选填）</w:t>
            </w:r>
          </w:p>
        </w:tc>
        <w:tc>
          <w:tcPr>
            <w:tcW w:w="1219" w:type="pct"/>
            <w:vAlign w:val="center"/>
          </w:tcPr>
          <w:p>
            <w:pPr>
              <w:adjustRightInd w:val="0"/>
              <w:snapToGrid w:val="0"/>
              <w:jc w:val="center"/>
              <w:rPr>
                <w:color w:val="auto"/>
                <w:szCs w:val="21"/>
                <w:highlight w:val="none"/>
              </w:rPr>
            </w:pPr>
            <w:r>
              <w:rPr>
                <w:rFonts w:hint="eastAsia"/>
                <w:color w:val="auto"/>
                <w:szCs w:val="21"/>
                <w:highlight w:val="none"/>
              </w:rPr>
              <w:t>宁德市蕉城区</w:t>
            </w:r>
            <w:r>
              <w:rPr>
                <w:rFonts w:hint="eastAsia"/>
                <w:color w:val="auto"/>
                <w:szCs w:val="21"/>
                <w:highlight w:val="none"/>
                <w:lang w:val="en-US" w:eastAsia="zh-CN"/>
              </w:rPr>
              <w:t>发展</w:t>
            </w:r>
            <w:r>
              <w:rPr>
                <w:rFonts w:hint="eastAsia"/>
                <w:color w:val="auto"/>
                <w:szCs w:val="21"/>
                <w:highlight w:val="none"/>
              </w:rPr>
              <w:t>和</w:t>
            </w:r>
            <w:r>
              <w:rPr>
                <w:rFonts w:hint="eastAsia"/>
                <w:color w:val="auto"/>
                <w:szCs w:val="21"/>
                <w:highlight w:val="none"/>
                <w:lang w:val="en-US" w:eastAsia="zh-CN"/>
              </w:rPr>
              <w:t>改革</w:t>
            </w:r>
            <w:r>
              <w:rPr>
                <w:rFonts w:hint="eastAsia"/>
                <w:color w:val="auto"/>
                <w:szCs w:val="21"/>
                <w:highlight w:val="none"/>
              </w:rPr>
              <w:t>局</w:t>
            </w:r>
          </w:p>
        </w:tc>
        <w:tc>
          <w:tcPr>
            <w:tcW w:w="1247" w:type="pct"/>
            <w:vAlign w:val="center"/>
          </w:tcPr>
          <w:p>
            <w:pPr>
              <w:adjustRightInd w:val="0"/>
              <w:snapToGrid w:val="0"/>
              <w:jc w:val="center"/>
              <w:rPr>
                <w:color w:val="auto"/>
                <w:szCs w:val="21"/>
                <w:highlight w:val="none"/>
              </w:rPr>
            </w:pPr>
            <w:r>
              <w:rPr>
                <w:color w:val="auto"/>
                <w:szCs w:val="21"/>
                <w:highlight w:val="none"/>
              </w:rPr>
              <w:t>项目审批（核准/</w:t>
            </w:r>
          </w:p>
          <w:p>
            <w:pPr>
              <w:adjustRightInd w:val="0"/>
              <w:snapToGrid w:val="0"/>
              <w:jc w:val="center"/>
              <w:rPr>
                <w:color w:val="auto"/>
                <w:szCs w:val="21"/>
                <w:highlight w:val="none"/>
              </w:rPr>
            </w:pPr>
            <w:r>
              <w:rPr>
                <w:color w:val="auto"/>
                <w:szCs w:val="21"/>
                <w:highlight w:val="none"/>
              </w:rPr>
              <w:t>备案）文号（选填）</w:t>
            </w:r>
          </w:p>
        </w:tc>
        <w:tc>
          <w:tcPr>
            <w:tcW w:w="1491" w:type="pct"/>
            <w:vAlign w:val="center"/>
          </w:tcPr>
          <w:p>
            <w:pPr>
              <w:adjustRightInd w:val="0"/>
              <w:snapToGrid w:val="0"/>
              <w:jc w:val="center"/>
              <w:rPr>
                <w:color w:val="auto"/>
                <w:szCs w:val="21"/>
                <w:highlight w:val="none"/>
              </w:rPr>
            </w:pPr>
            <w:r>
              <w:rPr>
                <w:rFonts w:hint="eastAsia"/>
                <w:color w:val="auto"/>
                <w:szCs w:val="21"/>
                <w:highlight w:val="none"/>
              </w:rPr>
              <w:t>闽</w:t>
            </w:r>
            <w:r>
              <w:rPr>
                <w:rFonts w:hint="eastAsia"/>
                <w:color w:val="auto"/>
                <w:szCs w:val="21"/>
                <w:highlight w:val="none"/>
                <w:lang w:val="en-US" w:eastAsia="zh-CN"/>
              </w:rPr>
              <w:t>发改</w:t>
            </w:r>
            <w:r>
              <w:rPr>
                <w:rFonts w:hint="eastAsia"/>
                <w:color w:val="auto"/>
                <w:szCs w:val="21"/>
                <w:highlight w:val="none"/>
              </w:rPr>
              <w:t>备〔202</w:t>
            </w:r>
            <w:r>
              <w:rPr>
                <w:rFonts w:hint="eastAsia"/>
                <w:color w:val="auto"/>
                <w:szCs w:val="21"/>
                <w:highlight w:val="none"/>
                <w:lang w:val="en-US" w:eastAsia="zh-CN"/>
              </w:rPr>
              <w:t>6</w:t>
            </w:r>
            <w:r>
              <w:rPr>
                <w:rFonts w:hint="eastAsia"/>
                <w:color w:val="auto"/>
                <w:szCs w:val="21"/>
                <w:highlight w:val="none"/>
              </w:rPr>
              <w:t>〕0100</w:t>
            </w:r>
            <w:r>
              <w:rPr>
                <w:rFonts w:hint="eastAsia"/>
                <w:color w:val="auto"/>
                <w:szCs w:val="21"/>
                <w:highlight w:val="none"/>
                <w:lang w:val="en-US" w:eastAsia="zh-CN"/>
              </w:rPr>
              <w:t>49</w:t>
            </w:r>
            <w:r>
              <w:rPr>
                <w:rFonts w:hint="eastAsia"/>
                <w:color w:val="auto"/>
                <w:szCs w:val="21"/>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总投资（万元）</w:t>
            </w:r>
          </w:p>
        </w:tc>
        <w:tc>
          <w:tcPr>
            <w:tcW w:w="121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8227</w:t>
            </w:r>
          </w:p>
        </w:tc>
        <w:tc>
          <w:tcPr>
            <w:tcW w:w="1247"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环保投资（万元）</w:t>
            </w:r>
          </w:p>
        </w:tc>
        <w:tc>
          <w:tcPr>
            <w:tcW w:w="1491" w:type="pct"/>
            <w:vAlign w:val="center"/>
          </w:tcPr>
          <w:p>
            <w:pPr>
              <w:adjustRightInd w:val="0"/>
              <w:snapToGrid w:val="0"/>
              <w:jc w:val="center"/>
              <w:rPr>
                <w:rFonts w:hint="default" w:eastAsia="宋体"/>
                <w:color w:val="auto"/>
                <w:szCs w:val="21"/>
                <w:highlight w:val="none"/>
                <w:lang w:val="en-US" w:eastAsia="zh-CN"/>
              </w:rPr>
            </w:pPr>
            <w:r>
              <w:rPr>
                <w:rFonts w:hint="eastAsia"/>
                <w:color w:val="auto"/>
                <w:kern w:val="0"/>
                <w:highlight w:val="none"/>
                <w:lang w:val="en-US" w:eastAsia="zh-CN"/>
              </w:rPr>
              <w:t>691.76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环保投资占比（%）</w:t>
            </w:r>
          </w:p>
        </w:tc>
        <w:tc>
          <w:tcPr>
            <w:tcW w:w="1219"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8.41</w:t>
            </w:r>
          </w:p>
        </w:tc>
        <w:tc>
          <w:tcPr>
            <w:tcW w:w="1247" w:type="pct"/>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施工工期</w:t>
            </w:r>
          </w:p>
        </w:tc>
        <w:tc>
          <w:tcPr>
            <w:tcW w:w="1491" w:type="pct"/>
            <w:vAlign w:val="center"/>
          </w:tcPr>
          <w:p>
            <w:pPr>
              <w:adjustRightInd w:val="0"/>
              <w:snapToGrid w:val="0"/>
              <w:jc w:val="center"/>
              <w:rPr>
                <w:color w:val="auto"/>
                <w:szCs w:val="21"/>
                <w:highlight w:val="none"/>
              </w:rPr>
            </w:pPr>
            <w:r>
              <w:rPr>
                <w:color w:val="auto"/>
                <w:szCs w:val="21"/>
                <w:highlight w:val="none"/>
              </w:rPr>
              <w:t>202</w:t>
            </w:r>
            <w:r>
              <w:rPr>
                <w:rFonts w:hint="eastAsia"/>
                <w:color w:val="auto"/>
                <w:szCs w:val="21"/>
                <w:highlight w:val="none"/>
              </w:rPr>
              <w:t>6</w:t>
            </w:r>
            <w:r>
              <w:rPr>
                <w:color w:val="auto"/>
                <w:szCs w:val="21"/>
                <w:highlight w:val="none"/>
              </w:rPr>
              <w:t>年</w:t>
            </w:r>
            <w:r>
              <w:rPr>
                <w:rFonts w:hint="eastAsia"/>
                <w:color w:val="auto"/>
                <w:szCs w:val="21"/>
                <w:highlight w:val="none"/>
                <w:lang w:val="en-US" w:eastAsia="zh-CN"/>
              </w:rPr>
              <w:t>7</w:t>
            </w:r>
            <w:r>
              <w:rPr>
                <w:color w:val="auto"/>
                <w:szCs w:val="21"/>
                <w:highlight w:val="none"/>
              </w:rPr>
              <w:t>月~202</w:t>
            </w:r>
            <w:r>
              <w:rPr>
                <w:rFonts w:hint="eastAsia"/>
                <w:color w:val="auto"/>
                <w:szCs w:val="21"/>
                <w:highlight w:val="none"/>
                <w:lang w:val="en-US" w:eastAsia="zh-CN"/>
              </w:rPr>
              <w:t>8</w:t>
            </w:r>
            <w:r>
              <w:rPr>
                <w:color w:val="auto"/>
                <w:szCs w:val="21"/>
                <w:highlight w:val="none"/>
              </w:rPr>
              <w:t>年</w:t>
            </w:r>
            <w:r>
              <w:rPr>
                <w:rFonts w:hint="eastAsia"/>
                <w:color w:val="auto"/>
                <w:szCs w:val="21"/>
                <w:highlight w:val="none"/>
                <w:lang w:val="en-US" w:eastAsia="zh-CN"/>
              </w:rPr>
              <w:t>3</w:t>
            </w:r>
            <w:r>
              <w:rPr>
                <w:color w:val="auto"/>
                <w:szCs w:val="21"/>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41" w:type="pct"/>
            <w:gridSpan w:val="2"/>
            <w:tcMar>
              <w:top w:w="16" w:type="dxa"/>
              <w:left w:w="16" w:type="dxa"/>
              <w:right w:w="16" w:type="dxa"/>
            </w:tcMar>
            <w:vAlign w:val="center"/>
          </w:tcPr>
          <w:p>
            <w:pPr>
              <w:adjustRightInd w:val="0"/>
              <w:snapToGrid w:val="0"/>
              <w:jc w:val="center"/>
              <w:rPr>
                <w:color w:val="auto"/>
                <w:szCs w:val="21"/>
                <w:highlight w:val="none"/>
              </w:rPr>
            </w:pPr>
            <w:r>
              <w:rPr>
                <w:color w:val="auto"/>
                <w:szCs w:val="21"/>
                <w:highlight w:val="none"/>
              </w:rPr>
              <w:t>是否开工建设</w:t>
            </w:r>
          </w:p>
        </w:tc>
        <w:tc>
          <w:tcPr>
            <w:tcW w:w="1219" w:type="pct"/>
            <w:vAlign w:val="center"/>
          </w:tcPr>
          <w:p>
            <w:pPr>
              <w:adjustRightInd w:val="0"/>
              <w:snapToGrid w:val="0"/>
              <w:rPr>
                <w:color w:val="auto"/>
                <w:szCs w:val="21"/>
                <w:highlight w:val="none"/>
              </w:rPr>
            </w:pPr>
            <w:r>
              <w:rPr>
                <w:color w:val="auto"/>
                <w:szCs w:val="21"/>
                <w:highlight w:val="none"/>
              </w:rPr>
              <w:sym w:font="Wingdings 2" w:char="0052"/>
            </w:r>
            <w:r>
              <w:rPr>
                <w:color w:val="auto"/>
                <w:szCs w:val="21"/>
                <w:highlight w:val="none"/>
              </w:rPr>
              <w:t>否</w:t>
            </w:r>
          </w:p>
          <w:p>
            <w:pPr>
              <w:adjustRightInd w:val="0"/>
              <w:snapToGrid w:val="0"/>
              <w:jc w:val="left"/>
              <w:rPr>
                <w:color w:val="auto"/>
                <w:szCs w:val="21"/>
                <w:highlight w:val="none"/>
              </w:rPr>
            </w:pPr>
            <w:r>
              <w:rPr>
                <w:rFonts w:hint="eastAsia"/>
                <w:color w:val="auto"/>
                <w:szCs w:val="21"/>
                <w:highlight w:val="none"/>
              </w:rPr>
              <w:sym w:font="Wingdings 2" w:char="00A3"/>
            </w:r>
            <w:r>
              <w:rPr>
                <w:rFonts w:hint="eastAsia"/>
                <w:color w:val="auto"/>
                <w:szCs w:val="21"/>
                <w:highlight w:val="none"/>
              </w:rPr>
              <w:t>是：</w:t>
            </w:r>
            <w:r>
              <w:rPr>
                <w:rFonts w:hint="eastAsia"/>
                <w:color w:val="auto"/>
                <w:szCs w:val="21"/>
                <w:highlight w:val="none"/>
                <w:u w:val="single"/>
              </w:rPr>
              <w:t xml:space="preserve">     </w:t>
            </w:r>
          </w:p>
        </w:tc>
        <w:tc>
          <w:tcPr>
            <w:tcW w:w="1247" w:type="pct"/>
            <w:vAlign w:val="center"/>
          </w:tcPr>
          <w:p>
            <w:pPr>
              <w:adjustRightInd w:val="0"/>
              <w:snapToGrid w:val="0"/>
              <w:jc w:val="center"/>
              <w:rPr>
                <w:color w:val="auto"/>
                <w:szCs w:val="21"/>
                <w:highlight w:val="none"/>
              </w:rPr>
            </w:pPr>
            <w:r>
              <w:rPr>
                <w:color w:val="auto"/>
                <w:szCs w:val="21"/>
                <w:highlight w:val="none"/>
              </w:rPr>
              <w:t>用地面积（m</w:t>
            </w:r>
            <w:r>
              <w:rPr>
                <w:color w:val="auto"/>
                <w:szCs w:val="21"/>
                <w:highlight w:val="none"/>
                <w:vertAlign w:val="superscript"/>
              </w:rPr>
              <w:t>2</w:t>
            </w:r>
            <w:r>
              <w:rPr>
                <w:color w:val="auto"/>
                <w:szCs w:val="21"/>
                <w:highlight w:val="none"/>
              </w:rPr>
              <w:t>）</w:t>
            </w:r>
          </w:p>
        </w:tc>
        <w:tc>
          <w:tcPr>
            <w:tcW w:w="1491" w:type="pct"/>
            <w:vAlign w:val="center"/>
          </w:tcPr>
          <w:p>
            <w:pPr>
              <w:adjustRightInd w:val="0"/>
              <w:snapToGrid w:val="0"/>
              <w:jc w:val="center"/>
              <w:rPr>
                <w:rFonts w:hint="default" w:eastAsia="宋体"/>
                <w:color w:val="auto"/>
                <w:szCs w:val="21"/>
                <w:highlight w:val="none"/>
                <w:lang w:val="en-US" w:eastAsia="zh-CN"/>
              </w:rPr>
            </w:pPr>
            <w:r>
              <w:rPr>
                <w:rFonts w:hint="eastAsia"/>
                <w:color w:val="auto"/>
                <w:szCs w:val="21"/>
                <w:highlight w:val="none"/>
                <w:lang w:val="en-US" w:eastAsia="zh-CN"/>
              </w:rPr>
              <w:t>60166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专项评价设置情况</w:t>
            </w:r>
          </w:p>
        </w:tc>
        <w:tc>
          <w:tcPr>
            <w:tcW w:w="4576" w:type="pct"/>
            <w:gridSpan w:val="4"/>
            <w:vAlign w:val="center"/>
          </w:tcPr>
          <w:p>
            <w:pPr>
              <w:pStyle w:val="26"/>
              <w:spacing w:before="156" w:beforeLines="50" w:line="240" w:lineRule="auto"/>
              <w:jc w:val="center"/>
              <w:rPr>
                <w:rFonts w:hint="eastAsia"/>
                <w:color w:val="auto"/>
                <w:sz w:val="21"/>
                <w:szCs w:val="21"/>
                <w:highlight w:val="none"/>
              </w:rPr>
            </w:pPr>
            <w:r>
              <w:rPr>
                <w:rFonts w:hint="eastAsia" w:ascii="Times New Roman"/>
                <w:b/>
                <w:bCs/>
                <w:snapToGrid/>
                <w:color w:val="auto"/>
                <w:kern w:val="21"/>
                <w:sz w:val="21"/>
                <w:szCs w:val="21"/>
                <w:highlight w:val="none"/>
              </w:rPr>
              <w:t>表1.1.1 专项评价设置表</w:t>
            </w:r>
          </w:p>
          <w:tbl>
            <w:tblPr>
              <w:tblStyle w:val="2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3454"/>
              <w:gridCol w:w="2647"/>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专项评价类别</w:t>
                  </w:r>
                </w:p>
              </w:tc>
              <w:tc>
                <w:tcPr>
                  <w:tcW w:w="2114"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设置原则</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本项目情况</w:t>
                  </w:r>
                </w:p>
              </w:tc>
              <w:tc>
                <w:tcPr>
                  <w:tcW w:w="602"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是否设置专项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大气</w:t>
                  </w:r>
                </w:p>
              </w:tc>
              <w:tc>
                <w:tcPr>
                  <w:tcW w:w="2114" w:type="pct"/>
                  <w:vAlign w:val="center"/>
                </w:tcPr>
                <w:p>
                  <w:pPr>
                    <w:autoSpaceDE w:val="0"/>
                    <w:autoSpaceDN w:val="0"/>
                    <w:adjustRightInd w:val="0"/>
                    <w:snapToGrid w:val="0"/>
                    <w:rPr>
                      <w:color w:val="auto"/>
                      <w:kern w:val="0"/>
                      <w:szCs w:val="21"/>
                      <w:highlight w:val="none"/>
                    </w:rPr>
                  </w:pPr>
                  <w:r>
                    <w:rPr>
                      <w:color w:val="auto"/>
                      <w:szCs w:val="21"/>
                      <w:highlight w:val="none"/>
                    </w:rPr>
                    <w:t>排放废气含有毒有害污染物</w:t>
                  </w:r>
                  <w:r>
                    <w:rPr>
                      <w:color w:val="auto"/>
                      <w:szCs w:val="21"/>
                      <w:highlight w:val="none"/>
                      <w:vertAlign w:val="superscript"/>
                    </w:rPr>
                    <w:t>1</w:t>
                  </w:r>
                  <w:r>
                    <w:rPr>
                      <w:color w:val="auto"/>
                      <w:szCs w:val="21"/>
                      <w:highlight w:val="none"/>
                    </w:rPr>
                    <w:t>、二噁英、苯并[a]芘、氰化物、氯气且厂界外500米范围内有环境空气保护目标</w:t>
                  </w:r>
                  <w:r>
                    <w:rPr>
                      <w:color w:val="auto"/>
                      <w:szCs w:val="21"/>
                      <w:highlight w:val="none"/>
                      <w:vertAlign w:val="superscript"/>
                    </w:rPr>
                    <w:t>2</w:t>
                  </w:r>
                  <w:r>
                    <w:rPr>
                      <w:color w:val="auto"/>
                      <w:szCs w:val="21"/>
                      <w:highlight w:val="none"/>
                    </w:rPr>
                    <w:t>的建设项目</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szCs w:val="21"/>
                      <w:highlight w:val="none"/>
                    </w:rPr>
                    <w:t>本</w:t>
                  </w:r>
                  <w:r>
                    <w:rPr>
                      <w:color w:val="auto"/>
                      <w:szCs w:val="21"/>
                      <w:highlight w:val="none"/>
                    </w:rPr>
                    <w:t>项目</w:t>
                  </w:r>
                  <w:r>
                    <w:rPr>
                      <w:rFonts w:hint="eastAsia"/>
                      <w:color w:val="auto"/>
                      <w:highlight w:val="none"/>
                    </w:rPr>
                    <w:t>排放的废气主要为粉尘，</w:t>
                  </w:r>
                  <w:r>
                    <w:rPr>
                      <w:color w:val="auto"/>
                      <w:szCs w:val="21"/>
                      <w:highlight w:val="none"/>
                    </w:rPr>
                    <w:t>不涉及</w:t>
                  </w:r>
                  <w:r>
                    <w:rPr>
                      <w:rFonts w:hint="eastAsia"/>
                      <w:color w:val="auto"/>
                      <w:szCs w:val="21"/>
                      <w:highlight w:val="none"/>
                    </w:rPr>
                    <w:t>排放</w:t>
                  </w:r>
                  <w:r>
                    <w:rPr>
                      <w:color w:val="auto"/>
                      <w:szCs w:val="21"/>
                      <w:highlight w:val="none"/>
                    </w:rPr>
                    <w:t>大气专项设置原则中提及的</w:t>
                  </w:r>
                  <w:r>
                    <w:rPr>
                      <w:rFonts w:hint="eastAsia"/>
                      <w:color w:val="auto"/>
                      <w:szCs w:val="21"/>
                      <w:highlight w:val="none"/>
                    </w:rPr>
                    <w:t>污染物</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地表水</w:t>
                  </w:r>
                </w:p>
              </w:tc>
              <w:tc>
                <w:tcPr>
                  <w:tcW w:w="2114"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新增工业废水直排建设项目（槽罐车外送污水处理厂的除外）；新增废水直排的污水集中处理厂</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项目</w:t>
                  </w:r>
                  <w:r>
                    <w:rPr>
                      <w:color w:val="auto"/>
                      <w:spacing w:val="-3"/>
                      <w:highlight w:val="none"/>
                    </w:rPr>
                    <w:t>生产废水</w:t>
                  </w:r>
                  <w:r>
                    <w:rPr>
                      <w:rFonts w:hint="eastAsia"/>
                      <w:color w:val="auto"/>
                      <w:spacing w:val="-3"/>
                      <w:highlight w:val="none"/>
                    </w:rPr>
                    <w:t>处理后回用；生活污水经市政污水管网</w:t>
                  </w:r>
                  <w:r>
                    <w:rPr>
                      <w:rFonts w:hint="eastAsia"/>
                      <w:color w:val="auto"/>
                      <w:spacing w:val="-8"/>
                      <w:highlight w:val="none"/>
                    </w:rPr>
                    <w:t>纳入漳湾临港工业区临时一体化污水处理厂处理</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环境风险</w:t>
                  </w:r>
                </w:p>
              </w:tc>
              <w:tc>
                <w:tcPr>
                  <w:tcW w:w="2114"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有毒有害和易燃易爆危险物质存储量超过临界量</w:t>
                  </w:r>
                  <w:r>
                    <w:rPr>
                      <w:color w:val="auto"/>
                      <w:szCs w:val="21"/>
                      <w:highlight w:val="none"/>
                      <w:vertAlign w:val="superscript"/>
                    </w:rPr>
                    <w:t>3</w:t>
                  </w:r>
                  <w:r>
                    <w:rPr>
                      <w:color w:val="auto"/>
                      <w:kern w:val="0"/>
                      <w:szCs w:val="21"/>
                      <w:highlight w:val="none"/>
                    </w:rPr>
                    <w:t>的建设项目</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szCs w:val="21"/>
                      <w:highlight w:val="none"/>
                    </w:rPr>
                    <w:t>本</w:t>
                  </w:r>
                  <w:r>
                    <w:rPr>
                      <w:color w:val="auto"/>
                      <w:szCs w:val="21"/>
                      <w:highlight w:val="none"/>
                    </w:rPr>
                    <w:t>项目有毒有害和易燃易爆危险物质存储量</w:t>
                  </w:r>
                  <w:r>
                    <w:rPr>
                      <w:rFonts w:hint="eastAsia"/>
                      <w:color w:val="auto"/>
                      <w:szCs w:val="21"/>
                      <w:highlight w:val="none"/>
                    </w:rPr>
                    <w:t>未超过</w:t>
                  </w:r>
                  <w:r>
                    <w:rPr>
                      <w:color w:val="auto"/>
                      <w:szCs w:val="21"/>
                      <w:highlight w:val="none"/>
                    </w:rPr>
                    <w:t>其临界量</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生态</w:t>
                  </w:r>
                </w:p>
              </w:tc>
              <w:tc>
                <w:tcPr>
                  <w:tcW w:w="2114"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取水口下游500米范围内有重要水生生物的自然产卵场、索饵场、越冬场和洄游通道的新增河道取水的污染类建设项目</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项目不涉及取水口及重要水生生物的自然产卵场、索饵场、越冬场和洄游通道的新增河道取水</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海洋</w:t>
                  </w:r>
                </w:p>
              </w:tc>
              <w:tc>
                <w:tcPr>
                  <w:tcW w:w="2114"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直接向海排放污染物的海洋工程建设项目</w:t>
                  </w:r>
                </w:p>
              </w:tc>
              <w:tc>
                <w:tcPr>
                  <w:tcW w:w="1620"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本项目不涉及海洋工程</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地下水</w:t>
                  </w:r>
                </w:p>
              </w:tc>
              <w:tc>
                <w:tcPr>
                  <w:tcW w:w="3416" w:type="dxa"/>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原则上不开展专项评价，涉及集中式饮用水水源和热水、矿泉水、温泉等特殊地下水资源保护区的开展地下水专项评价工作</w:t>
                  </w:r>
                </w:p>
              </w:tc>
              <w:tc>
                <w:tcPr>
                  <w:tcW w:w="2618" w:type="dxa"/>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本</w:t>
                  </w:r>
                  <w:r>
                    <w:rPr>
                      <w:color w:val="auto"/>
                      <w:kern w:val="0"/>
                      <w:szCs w:val="21"/>
                      <w:highlight w:val="none"/>
                    </w:rPr>
                    <w:t>项目不涉及集中式饮用水水源和热水、矿泉水、温泉等特殊地下水资源保护区</w:t>
                  </w:r>
                </w:p>
              </w:tc>
              <w:tc>
                <w:tcPr>
                  <w:tcW w:w="602" w:type="pct"/>
                  <w:vAlign w:val="center"/>
                </w:tcPr>
                <w:p>
                  <w:pPr>
                    <w:autoSpaceDE w:val="0"/>
                    <w:autoSpaceDN w:val="0"/>
                    <w:adjustRightInd w:val="0"/>
                    <w:snapToGrid w:val="0"/>
                    <w:jc w:val="center"/>
                    <w:rPr>
                      <w:color w:val="auto"/>
                      <w:kern w:val="0"/>
                      <w:szCs w:val="21"/>
                      <w:highlight w:val="none"/>
                    </w:rPr>
                  </w:pPr>
                  <w:r>
                    <w:rPr>
                      <w:rFonts w:hint="eastAsia"/>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pStyle w:val="50"/>
                    <w:tabs>
                      <w:tab w:val="left" w:pos="1980"/>
                      <w:tab w:val="left" w:pos="3825"/>
                      <w:tab w:val="left" w:pos="4680"/>
                      <w:tab w:val="clear" w:pos="0"/>
                    </w:tabs>
                    <w:jc w:val="both"/>
                    <w:rPr>
                      <w:color w:val="auto"/>
                      <w:kern w:val="0"/>
                      <w:highlight w:val="none"/>
                    </w:rPr>
                  </w:pPr>
                  <w:r>
                    <w:rPr>
                      <w:rFonts w:hint="eastAsia"/>
                      <w:color w:val="auto"/>
                      <w:kern w:val="0"/>
                      <w:highlight w:val="none"/>
                    </w:rPr>
                    <w:t>注：1.废气中有毒有害污染物指纳入《有毒有害大气污染物名录》的污染物（不包括无排放标准的污染物）。</w:t>
                  </w:r>
                </w:p>
                <w:p>
                  <w:pPr>
                    <w:pStyle w:val="50"/>
                    <w:tabs>
                      <w:tab w:val="left" w:pos="1980"/>
                      <w:tab w:val="left" w:pos="3825"/>
                      <w:tab w:val="left" w:pos="4680"/>
                      <w:tab w:val="clear" w:pos="0"/>
                    </w:tabs>
                    <w:jc w:val="both"/>
                    <w:rPr>
                      <w:color w:val="auto"/>
                      <w:kern w:val="0"/>
                      <w:highlight w:val="none"/>
                    </w:rPr>
                  </w:pPr>
                  <w:r>
                    <w:rPr>
                      <w:rFonts w:hint="eastAsia"/>
                      <w:color w:val="auto"/>
                      <w:kern w:val="0"/>
                      <w:highlight w:val="none"/>
                    </w:rPr>
                    <w:t>2.环境空气保护目标指自然保护区、风景名胜区、居住区、文化区和农村地区中人群较集中的区域。</w:t>
                  </w:r>
                </w:p>
                <w:p>
                  <w:pPr>
                    <w:autoSpaceDE w:val="0"/>
                    <w:autoSpaceDN w:val="0"/>
                    <w:adjustRightInd w:val="0"/>
                    <w:snapToGrid w:val="0"/>
                    <w:rPr>
                      <w:color w:val="auto"/>
                      <w:kern w:val="0"/>
                      <w:szCs w:val="21"/>
                      <w:highlight w:val="none"/>
                    </w:rPr>
                  </w:pPr>
                  <w:r>
                    <w:rPr>
                      <w:rFonts w:hint="eastAsia"/>
                      <w:color w:val="auto"/>
                      <w:kern w:val="0"/>
                      <w:szCs w:val="21"/>
                      <w:highlight w:val="none"/>
                    </w:rPr>
                    <w:t>3.临界量及其计算方法可参考《建设项目环境风险评价技术导则》（HJ169）附录B、附录C。</w:t>
                  </w:r>
                </w:p>
              </w:tc>
            </w:tr>
          </w:tbl>
          <w:p>
            <w:pPr>
              <w:autoSpaceDE w:val="0"/>
              <w:autoSpaceDN w:val="0"/>
              <w:adjustRightInd w:val="0"/>
              <w:snapToGrid w:val="0"/>
              <w:spacing w:line="360" w:lineRule="auto"/>
              <w:ind w:firstLine="420" w:firstLineChars="200"/>
              <w:rPr>
                <w:color w:val="auto"/>
                <w:kern w:val="0"/>
                <w:szCs w:val="21"/>
                <w:highlight w:val="none"/>
              </w:rPr>
            </w:pPr>
            <w:r>
              <w:rPr>
                <w:color w:val="auto"/>
                <w:kern w:val="0"/>
                <w:szCs w:val="21"/>
                <w:highlight w:val="none"/>
              </w:rPr>
              <w:t>依据</w:t>
            </w:r>
            <w:r>
              <w:rPr>
                <w:rFonts w:hint="eastAsia"/>
                <w:color w:val="auto"/>
                <w:kern w:val="0"/>
                <w:szCs w:val="21"/>
                <w:highlight w:val="none"/>
              </w:rPr>
              <w:t>上表</w:t>
            </w:r>
            <w:r>
              <w:rPr>
                <w:color w:val="auto"/>
                <w:kern w:val="0"/>
                <w:szCs w:val="21"/>
                <w:highlight w:val="none"/>
              </w:rPr>
              <w:t>可知，项目</w:t>
            </w:r>
            <w:r>
              <w:rPr>
                <w:rFonts w:hint="eastAsia"/>
                <w:color w:val="auto"/>
                <w:kern w:val="0"/>
                <w:szCs w:val="21"/>
                <w:highlight w:val="none"/>
              </w:rPr>
              <w:t>无</w:t>
            </w:r>
            <w:r>
              <w:rPr>
                <w:color w:val="auto"/>
                <w:kern w:val="0"/>
                <w:szCs w:val="21"/>
                <w:highlight w:val="none"/>
              </w:rPr>
              <w:t>需</w:t>
            </w:r>
            <w:r>
              <w:rPr>
                <w:rFonts w:hint="eastAsia"/>
                <w:color w:val="auto"/>
                <w:kern w:val="0"/>
                <w:szCs w:val="21"/>
                <w:highlight w:val="none"/>
              </w:rPr>
              <w:t>开展专项评价</w:t>
            </w:r>
            <w:r>
              <w:rPr>
                <w:color w:val="auto"/>
                <w:kern w:val="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23" w:type="pct"/>
            <w:vAlign w:val="center"/>
          </w:tcPr>
          <w:p>
            <w:pPr>
              <w:autoSpaceDE w:val="0"/>
              <w:autoSpaceDN w:val="0"/>
              <w:adjustRightInd w:val="0"/>
              <w:snapToGrid w:val="0"/>
              <w:jc w:val="center"/>
              <w:rPr>
                <w:color w:val="auto"/>
                <w:kern w:val="0"/>
                <w:sz w:val="24"/>
                <w:highlight w:val="none"/>
              </w:rPr>
            </w:pPr>
            <w:r>
              <w:rPr>
                <w:color w:val="auto"/>
                <w:sz w:val="21"/>
                <w:szCs w:val="21"/>
                <w:highlight w:val="none"/>
              </w:rPr>
              <w:t>规划情况</w:t>
            </w:r>
          </w:p>
        </w:tc>
        <w:tc>
          <w:tcPr>
            <w:tcW w:w="4576" w:type="pct"/>
            <w:gridSpan w:val="4"/>
            <w:vAlign w:val="center"/>
          </w:tcPr>
          <w:p>
            <w:pPr>
              <w:pStyle w:val="32"/>
              <w:ind w:firstLine="0" w:firstLineChars="0"/>
              <w:rPr>
                <w:rFonts w:hint="eastAsia"/>
                <w:color w:val="auto"/>
                <w:kern w:val="0"/>
                <w:highlight w:val="none"/>
                <w:lang w:val="en-US" w:eastAsia="zh-CN"/>
              </w:rPr>
            </w:pPr>
            <w:r>
              <w:rPr>
                <w:rFonts w:hint="eastAsia"/>
                <w:color w:val="auto"/>
                <w:kern w:val="0"/>
                <w:highlight w:val="none"/>
              </w:rPr>
              <w:t>规划名称：</w:t>
            </w:r>
            <w:r>
              <w:rPr>
                <w:rFonts w:hint="eastAsia"/>
                <w:color w:val="auto"/>
                <w:kern w:val="0"/>
                <w:highlight w:val="none"/>
                <w:lang w:val="en-US" w:eastAsia="zh-CN"/>
              </w:rPr>
              <w:t>《宁德市国土空间总体规划（2021-2035年）》</w:t>
            </w:r>
          </w:p>
          <w:p>
            <w:pPr>
              <w:pStyle w:val="32"/>
              <w:ind w:firstLine="0" w:firstLineChars="0"/>
              <w:rPr>
                <w:color w:val="auto"/>
                <w:kern w:val="0"/>
                <w:highlight w:val="none"/>
              </w:rPr>
            </w:pPr>
            <w:r>
              <w:rPr>
                <w:rFonts w:hint="eastAsia"/>
                <w:color w:val="auto"/>
                <w:kern w:val="0"/>
                <w:highlight w:val="none"/>
              </w:rPr>
              <w:t>审批机关：福建省人民政府</w:t>
            </w:r>
          </w:p>
          <w:p>
            <w:pPr>
              <w:pStyle w:val="32"/>
              <w:ind w:firstLine="0" w:firstLineChars="0"/>
              <w:rPr>
                <w:color w:val="auto"/>
                <w:kern w:val="0"/>
                <w:highlight w:val="none"/>
              </w:rPr>
            </w:pPr>
            <w:r>
              <w:rPr>
                <w:rFonts w:hint="eastAsia"/>
                <w:color w:val="auto"/>
                <w:kern w:val="0"/>
                <w:highlight w:val="none"/>
              </w:rPr>
              <w:t>审批文号：闽政文〔2024〕118号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23" w:type="pct"/>
            <w:vAlign w:val="center"/>
          </w:tcPr>
          <w:p>
            <w:pPr>
              <w:adjustRightInd w:val="0"/>
              <w:snapToGrid w:val="0"/>
              <w:jc w:val="center"/>
              <w:rPr>
                <w:color w:val="auto"/>
                <w:szCs w:val="21"/>
                <w:highlight w:val="none"/>
              </w:rPr>
            </w:pPr>
            <w:r>
              <w:rPr>
                <w:color w:val="auto"/>
                <w:szCs w:val="21"/>
                <w:highlight w:val="none"/>
              </w:rPr>
              <w:t>规划环境影响</w:t>
            </w:r>
          </w:p>
          <w:p>
            <w:pPr>
              <w:adjustRightInd w:val="0"/>
              <w:snapToGrid w:val="0"/>
              <w:jc w:val="center"/>
              <w:rPr>
                <w:color w:val="auto"/>
                <w:kern w:val="0"/>
                <w:szCs w:val="21"/>
                <w:highlight w:val="none"/>
              </w:rPr>
            </w:pPr>
            <w:r>
              <w:rPr>
                <w:color w:val="auto"/>
                <w:szCs w:val="21"/>
                <w:highlight w:val="none"/>
              </w:rPr>
              <w:t>评价情况</w:t>
            </w:r>
          </w:p>
        </w:tc>
        <w:tc>
          <w:tcPr>
            <w:tcW w:w="4576" w:type="pct"/>
            <w:gridSpan w:val="4"/>
            <w:vAlign w:val="center"/>
          </w:tcPr>
          <w:p>
            <w:pPr>
              <w:pStyle w:val="32"/>
              <w:ind w:firstLine="0" w:firstLineChars="0"/>
              <w:rPr>
                <w:rFonts w:hint="eastAsia" w:eastAsia="宋体"/>
                <w:color w:val="auto"/>
                <w:kern w:val="0"/>
                <w:szCs w:val="21"/>
                <w:highlight w:val="none"/>
                <w:lang w:eastAsia="zh-CN"/>
              </w:rPr>
            </w:pPr>
            <w:r>
              <w:rPr>
                <w:rFonts w:hint="eastAsia"/>
                <w:color w:val="auto"/>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423" w:type="pct"/>
            <w:vAlign w:val="center"/>
          </w:tcPr>
          <w:p>
            <w:pPr>
              <w:adjustRightInd w:val="0"/>
              <w:snapToGrid w:val="0"/>
              <w:jc w:val="center"/>
              <w:rPr>
                <w:color w:val="auto"/>
                <w:szCs w:val="21"/>
                <w:highlight w:val="none"/>
              </w:rPr>
            </w:pPr>
            <w:r>
              <w:rPr>
                <w:color w:val="auto"/>
                <w:szCs w:val="21"/>
                <w:highlight w:val="none"/>
              </w:rPr>
              <w:t>规划及规划环境影响评价符合性分析</w:t>
            </w:r>
          </w:p>
        </w:tc>
        <w:tc>
          <w:tcPr>
            <w:tcW w:w="4576" w:type="pct"/>
            <w:gridSpan w:val="4"/>
            <w:vAlign w:val="center"/>
          </w:tcPr>
          <w:p>
            <w:pPr>
              <w:pStyle w:val="62"/>
              <w:ind w:firstLine="0" w:firstLineChars="0"/>
              <w:jc w:val="both"/>
              <w:rPr>
                <w:b/>
                <w:bCs/>
                <w:color w:val="auto"/>
                <w:highlight w:val="none"/>
              </w:rPr>
            </w:pPr>
            <w:r>
              <w:rPr>
                <w:rFonts w:hint="eastAsia"/>
                <w:b/>
                <w:bCs/>
                <w:color w:val="auto"/>
                <w:highlight w:val="none"/>
              </w:rPr>
              <w:t>1.</w:t>
            </w:r>
            <w:r>
              <w:rPr>
                <w:rFonts w:hint="eastAsia"/>
                <w:b/>
                <w:bCs/>
                <w:color w:val="auto"/>
                <w:highlight w:val="none"/>
                <w:lang w:val="en-US" w:eastAsia="zh-CN"/>
              </w:rPr>
              <w:t>1</w:t>
            </w:r>
            <w:r>
              <w:rPr>
                <w:rFonts w:hint="eastAsia"/>
                <w:b/>
                <w:bCs/>
                <w:color w:val="auto"/>
                <w:highlight w:val="none"/>
              </w:rPr>
              <w:t>与宁德市国土空间总体规划的协调性分析</w:t>
            </w:r>
          </w:p>
          <w:p>
            <w:pPr>
              <w:autoSpaceDE w:val="0"/>
              <w:autoSpaceDN w:val="0"/>
              <w:adjustRightInd w:val="0"/>
              <w:snapToGrid w:val="0"/>
              <w:spacing w:before="156" w:beforeLines="50" w:line="360" w:lineRule="auto"/>
              <w:ind w:firstLine="480" w:firstLineChars="200"/>
              <w:rPr>
                <w:snapToGrid w:val="0"/>
                <w:color w:val="auto"/>
                <w:kern w:val="0"/>
                <w:sz w:val="24"/>
                <w:szCs w:val="21"/>
                <w:highlight w:val="none"/>
              </w:rPr>
            </w:pPr>
            <w:r>
              <w:rPr>
                <w:snapToGrid w:val="0"/>
                <w:color w:val="auto"/>
                <w:kern w:val="0"/>
                <w:sz w:val="24"/>
                <w:szCs w:val="21"/>
                <w:highlight w:val="none"/>
              </w:rPr>
              <w:t>根据《宁德市国土空间总体规划（2021-2035年）》，宁德市国土空间结构为“一环三带六片”，“一环”为环湾城镇发展环，依托环湾交通廊道，打造环湾城镇发展环，促进宁德中心城区环湾面海集聚发展。“三带”为以蕉城区历史文化街区、三都岛、霍童历史文化名镇为依托，沿霍童溪打造文化创意休闲带，以科创岛为核心驱动力，沿交溪打造宁德高端制造产业发展带，以三都岛、东冲半岛旅游资源为载体，打造滨海休闲旅游带。“六片”为蕉城中心片区、霍童溪片区、三都岛群片区、白马片区、溪南半岛片区、东冲半岛片区。</w:t>
            </w:r>
          </w:p>
          <w:p>
            <w:pPr>
              <w:autoSpaceDE w:val="0"/>
              <w:autoSpaceDN w:val="0"/>
              <w:adjustRightInd w:val="0"/>
              <w:snapToGrid w:val="0"/>
              <w:spacing w:before="156" w:beforeLines="50" w:line="360" w:lineRule="auto"/>
              <w:ind w:firstLine="480" w:firstLineChars="200"/>
              <w:rPr>
                <w:color w:val="auto"/>
                <w:kern w:val="0"/>
                <w:szCs w:val="21"/>
                <w:highlight w:val="none"/>
              </w:rPr>
            </w:pPr>
            <w:r>
              <w:rPr>
                <w:snapToGrid w:val="0"/>
                <w:color w:val="auto"/>
                <w:kern w:val="0"/>
                <w:sz w:val="24"/>
                <w:szCs w:val="21"/>
                <w:highlight w:val="none"/>
              </w:rPr>
              <w:t>本项目位于“蕉城中心片区”的“漳湾临港组团”，“漳湾临港组团”主导功能为“锂电新能源、新能源汽车及其上下游配套工业、临港冶金及上下游配套工业、港口及</w:t>
            </w:r>
            <w:r>
              <w:rPr>
                <w:rFonts w:hint="eastAsia"/>
                <w:snapToGrid w:val="0"/>
                <w:color w:val="auto"/>
                <w:kern w:val="0"/>
                <w:sz w:val="24"/>
                <w:szCs w:val="21"/>
                <w:highlight w:val="none"/>
              </w:rPr>
              <w:t>货轮运输</w:t>
            </w:r>
            <w:r>
              <w:rPr>
                <w:snapToGrid w:val="0"/>
                <w:color w:val="auto"/>
                <w:kern w:val="0"/>
                <w:sz w:val="24"/>
                <w:szCs w:val="21"/>
                <w:highlight w:val="none"/>
              </w:rPr>
              <w:t>、现代物流；以及商务办公、商业服务、文化娱乐、生活居住和生活配套”</w:t>
            </w:r>
            <w:r>
              <w:rPr>
                <w:rFonts w:hint="eastAsia"/>
                <w:snapToGrid w:val="0"/>
                <w:color w:val="auto"/>
                <w:kern w:val="0"/>
                <w:sz w:val="24"/>
                <w:szCs w:val="21"/>
                <w:highlight w:val="none"/>
                <w:lang w:eastAsia="zh-CN"/>
              </w:rPr>
              <w:t>。</w:t>
            </w:r>
            <w:r>
              <w:rPr>
                <w:rFonts w:hint="eastAsia"/>
                <w:snapToGrid w:val="0"/>
                <w:color w:val="auto"/>
                <w:kern w:val="0"/>
                <w:sz w:val="24"/>
                <w:szCs w:val="21"/>
                <w:highlight w:val="none"/>
              </w:rPr>
              <w:t>本项目将从海外购进的不同品位的铜精矿，在海关监管条件下按比例进行简单物理混配，生产出符合海关进口标准的铜精矿，报关出区至宁德40万吨铜冶炼基地项目作为原料使用，属于铜冶炼基地项目的配套工程</w:t>
            </w:r>
            <w:r>
              <w:rPr>
                <w:snapToGrid w:val="0"/>
                <w:color w:val="auto"/>
                <w:kern w:val="0"/>
                <w:sz w:val="24"/>
                <w:szCs w:val="21"/>
                <w:highlight w:val="none"/>
              </w:rPr>
              <w:t>，铜冶炼基地项目属于冶金产业，符合漳湾临港组团的主导功能规划。根据宁德市中心城区土地使用规划图，</w:t>
            </w:r>
            <w:r>
              <w:rPr>
                <w:rFonts w:hint="eastAsia"/>
                <w:snapToGrid w:val="0"/>
                <w:color w:val="auto"/>
                <w:kern w:val="0"/>
                <w:sz w:val="24"/>
                <w:szCs w:val="21"/>
                <w:highlight w:val="none"/>
              </w:rPr>
              <w:t>详见附图9，</w:t>
            </w:r>
            <w:r>
              <w:rPr>
                <w:snapToGrid w:val="0"/>
                <w:color w:val="auto"/>
                <w:kern w:val="0"/>
                <w:sz w:val="24"/>
                <w:szCs w:val="21"/>
                <w:highlight w:val="none"/>
              </w:rPr>
              <w:t>本项目所在地块类型属于工业用地，符合用地规划；本项目位于</w:t>
            </w:r>
            <w:r>
              <w:rPr>
                <w:rFonts w:hint="eastAsia"/>
                <w:snapToGrid w:val="0"/>
                <w:color w:val="auto"/>
                <w:kern w:val="0"/>
                <w:sz w:val="24"/>
                <w:szCs w:val="21"/>
                <w:highlight w:val="none"/>
              </w:rPr>
              <w:t>保税物流中心（B型）内，项目用地属于工业用地/物流</w:t>
            </w:r>
            <w:r>
              <w:rPr>
                <w:snapToGrid w:val="0"/>
                <w:color w:val="auto"/>
                <w:kern w:val="0"/>
                <w:sz w:val="24"/>
                <w:szCs w:val="21"/>
                <w:highlight w:val="none"/>
              </w:rPr>
              <w:t>，不涉及永久基本农田，不在生态红线保护范围内，符合国土空间控制线规划要求。综上，项目符合</w:t>
            </w:r>
            <w:r>
              <w:rPr>
                <w:rFonts w:hint="eastAsia"/>
                <w:snapToGrid w:val="0"/>
                <w:color w:val="auto"/>
                <w:kern w:val="0"/>
                <w:sz w:val="24"/>
                <w:szCs w:val="21"/>
                <w:highlight w:val="none"/>
              </w:rPr>
              <w:t>宁德市</w:t>
            </w:r>
            <w:r>
              <w:rPr>
                <w:snapToGrid w:val="0"/>
                <w:color w:val="auto"/>
                <w:kern w:val="0"/>
                <w:sz w:val="24"/>
                <w:szCs w:val="21"/>
                <w:highlight w:val="none"/>
              </w:rPr>
              <w:t>国土空间总体规划（2020—2035年）</w:t>
            </w:r>
            <w:r>
              <w:rPr>
                <w:rFonts w:hint="eastAsia"/>
                <w:snapToGrid w:val="0"/>
                <w:color w:val="auto"/>
                <w:kern w:val="0"/>
                <w:sz w:val="24"/>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3" w:type="pct"/>
            <w:vAlign w:val="center"/>
          </w:tcPr>
          <w:p>
            <w:pPr>
              <w:autoSpaceDE w:val="0"/>
              <w:autoSpaceDN w:val="0"/>
              <w:adjustRightInd w:val="0"/>
              <w:snapToGrid w:val="0"/>
              <w:jc w:val="center"/>
              <w:rPr>
                <w:color w:val="auto"/>
                <w:kern w:val="0"/>
                <w:szCs w:val="21"/>
                <w:highlight w:val="none"/>
              </w:rPr>
            </w:pPr>
            <w:r>
              <w:rPr>
                <w:color w:val="auto"/>
                <w:kern w:val="0"/>
                <w:szCs w:val="21"/>
                <w:highlight w:val="none"/>
              </w:rPr>
              <w:t>其他符合性分析</w:t>
            </w:r>
          </w:p>
        </w:tc>
        <w:tc>
          <w:tcPr>
            <w:tcW w:w="4576" w:type="pct"/>
            <w:gridSpan w:val="4"/>
            <w:vAlign w:val="center"/>
          </w:tcPr>
          <w:p>
            <w:pPr>
              <w:pStyle w:val="62"/>
              <w:ind w:firstLine="0" w:firstLineChars="0"/>
              <w:jc w:val="both"/>
              <w:rPr>
                <w:b/>
                <w:bCs/>
                <w:color w:val="auto"/>
                <w:highlight w:val="none"/>
              </w:rPr>
            </w:pPr>
            <w:r>
              <w:rPr>
                <w:rFonts w:hint="eastAsia"/>
                <w:b/>
                <w:bCs/>
                <w:color w:val="auto"/>
                <w:highlight w:val="none"/>
              </w:rPr>
              <w:t>1.2与《产业结构调整指导目录（2024年本）》相符性分析</w:t>
            </w:r>
          </w:p>
          <w:p>
            <w:pPr>
              <w:autoSpaceDE w:val="0"/>
              <w:autoSpaceDN w:val="0"/>
              <w:adjustRightInd w:val="0"/>
              <w:snapToGrid w:val="0"/>
              <w:spacing w:before="156" w:beforeLines="50" w:line="360" w:lineRule="auto"/>
              <w:ind w:firstLine="480" w:firstLineChars="200"/>
              <w:rPr>
                <w:snapToGrid w:val="0"/>
                <w:color w:val="auto"/>
                <w:kern w:val="0"/>
                <w:sz w:val="24"/>
                <w:szCs w:val="21"/>
                <w:highlight w:val="none"/>
              </w:rPr>
            </w:pPr>
            <w:r>
              <w:rPr>
                <w:snapToGrid w:val="0"/>
                <w:color w:val="auto"/>
                <w:kern w:val="0"/>
                <w:sz w:val="24"/>
                <w:szCs w:val="21"/>
                <w:highlight w:val="none"/>
              </w:rPr>
              <w:t>项目属于</w:t>
            </w:r>
            <w:r>
              <w:rPr>
                <w:rFonts w:hint="default"/>
                <w:snapToGrid w:val="0"/>
                <w:color w:val="auto"/>
                <w:kern w:val="0"/>
                <w:sz w:val="24"/>
                <w:szCs w:val="21"/>
                <w:highlight w:val="none"/>
              </w:rPr>
              <w:t xml:space="preserve">B0911 </w:t>
            </w:r>
            <w:r>
              <w:rPr>
                <w:rFonts w:hint="eastAsia"/>
                <w:snapToGrid w:val="0"/>
                <w:color w:val="auto"/>
                <w:kern w:val="0"/>
                <w:sz w:val="24"/>
                <w:szCs w:val="21"/>
                <w:highlight w:val="none"/>
              </w:rPr>
              <w:t>铜矿采选</w:t>
            </w:r>
            <w:r>
              <w:rPr>
                <w:rFonts w:hint="eastAsia"/>
                <w:snapToGrid w:val="0"/>
                <w:color w:val="auto"/>
                <w:kern w:val="0"/>
                <w:sz w:val="24"/>
                <w:szCs w:val="21"/>
                <w:highlight w:val="none"/>
                <w:lang w:val="en-US" w:eastAsia="zh-CN"/>
              </w:rPr>
              <w:t>里单独的矿石集运</w:t>
            </w:r>
            <w:r>
              <w:rPr>
                <w:snapToGrid w:val="0"/>
                <w:color w:val="auto"/>
                <w:kern w:val="0"/>
                <w:sz w:val="24"/>
                <w:szCs w:val="21"/>
                <w:highlight w:val="none"/>
              </w:rPr>
              <w:t>。</w:t>
            </w:r>
            <w:r>
              <w:rPr>
                <w:rFonts w:hint="eastAsia"/>
                <w:snapToGrid w:val="0"/>
                <w:color w:val="auto"/>
                <w:kern w:val="0"/>
                <w:sz w:val="24"/>
                <w:szCs w:val="21"/>
                <w:highlight w:val="none"/>
              </w:rPr>
              <w:t>对照《产业结构调整指导目录（2024年本）》可知</w:t>
            </w:r>
            <w:r>
              <w:rPr>
                <w:snapToGrid w:val="0"/>
                <w:color w:val="auto"/>
                <w:kern w:val="0"/>
                <w:sz w:val="24"/>
                <w:szCs w:val="21"/>
                <w:highlight w:val="none"/>
              </w:rPr>
              <w:t>，项目不属于“鼓励类”、“限制类”和“淘汰类”项目</w:t>
            </w:r>
            <w:r>
              <w:rPr>
                <w:rFonts w:hint="eastAsia"/>
                <w:snapToGrid w:val="0"/>
                <w:color w:val="auto"/>
                <w:kern w:val="0"/>
                <w:sz w:val="24"/>
                <w:szCs w:val="21"/>
                <w:highlight w:val="none"/>
              </w:rPr>
              <w:t>。根据国务院关于发布实施《促进产业结构调整暂行规定》的决定第三章产业结构调整指导目录第十三条“不属于鼓励类、限制类和淘汰类，且符合国家有关法律法规和政策规定的，为允许类”，因此，本项目符合国家的产业政策。本项目已获得宁德市蕉城区</w:t>
            </w:r>
            <w:r>
              <w:rPr>
                <w:rFonts w:hint="eastAsia"/>
                <w:snapToGrid w:val="0"/>
                <w:color w:val="auto"/>
                <w:kern w:val="0"/>
                <w:sz w:val="24"/>
                <w:szCs w:val="21"/>
                <w:highlight w:val="none"/>
                <w:lang w:val="en-US" w:eastAsia="zh-CN"/>
              </w:rPr>
              <w:t>发展</w:t>
            </w:r>
            <w:r>
              <w:rPr>
                <w:rFonts w:hint="eastAsia"/>
                <w:snapToGrid w:val="0"/>
                <w:color w:val="auto"/>
                <w:kern w:val="0"/>
                <w:sz w:val="24"/>
                <w:szCs w:val="21"/>
                <w:highlight w:val="none"/>
              </w:rPr>
              <w:t>和</w:t>
            </w:r>
            <w:r>
              <w:rPr>
                <w:rFonts w:hint="eastAsia"/>
                <w:snapToGrid w:val="0"/>
                <w:color w:val="auto"/>
                <w:kern w:val="0"/>
                <w:sz w:val="24"/>
                <w:szCs w:val="21"/>
                <w:highlight w:val="none"/>
                <w:lang w:val="en-US" w:eastAsia="zh-CN"/>
              </w:rPr>
              <w:t>改革</w:t>
            </w:r>
            <w:r>
              <w:rPr>
                <w:rFonts w:hint="eastAsia"/>
                <w:snapToGrid w:val="0"/>
                <w:color w:val="auto"/>
                <w:kern w:val="0"/>
                <w:sz w:val="24"/>
                <w:szCs w:val="21"/>
                <w:highlight w:val="none"/>
              </w:rPr>
              <w:t>局《福建省投资项目备案证明（内资）》（闽工信备〔2025〕J010002号，见附件2）的备案证明。</w:t>
            </w:r>
            <w:r>
              <w:rPr>
                <w:snapToGrid w:val="0"/>
                <w:color w:val="auto"/>
                <w:kern w:val="0"/>
                <w:sz w:val="24"/>
                <w:szCs w:val="21"/>
                <w:highlight w:val="none"/>
              </w:rPr>
              <w:t>因此，项目符合相关的产业政策要求。</w:t>
            </w:r>
          </w:p>
          <w:p>
            <w:pPr>
              <w:pStyle w:val="62"/>
              <w:ind w:firstLine="0" w:firstLineChars="0"/>
              <w:jc w:val="both"/>
              <w:rPr>
                <w:b/>
                <w:bCs/>
                <w:color w:val="auto"/>
                <w:highlight w:val="none"/>
              </w:rPr>
            </w:pPr>
            <w:r>
              <w:rPr>
                <w:rFonts w:hint="eastAsia"/>
                <w:b/>
                <w:bCs/>
                <w:color w:val="auto"/>
                <w:highlight w:val="none"/>
              </w:rPr>
              <w:t>1.</w:t>
            </w:r>
            <w:r>
              <w:rPr>
                <w:rFonts w:hint="eastAsia"/>
                <w:b/>
                <w:bCs/>
                <w:color w:val="auto"/>
                <w:highlight w:val="none"/>
                <w:lang w:val="en-US" w:eastAsia="zh-CN"/>
              </w:rPr>
              <w:t>3</w:t>
            </w:r>
            <w:r>
              <w:rPr>
                <w:rFonts w:hint="eastAsia"/>
                <w:b/>
                <w:bCs/>
                <w:color w:val="auto"/>
                <w:highlight w:val="none"/>
              </w:rPr>
              <w:t xml:space="preserve">与宁德市生态环境分区管控相符性分析 </w:t>
            </w:r>
          </w:p>
          <w:p>
            <w:pPr>
              <w:pStyle w:val="32"/>
              <w:ind w:firstLine="480"/>
              <w:rPr>
                <w:color w:val="auto"/>
                <w:highlight w:val="none"/>
              </w:rPr>
            </w:pPr>
            <w:r>
              <w:rPr>
                <w:rFonts w:hint="eastAsia"/>
                <w:color w:val="auto"/>
                <w:highlight w:val="none"/>
              </w:rPr>
              <w:t>根据《宁德市生态环境局关于印发宁德市生态环境分区管控动态更新成果（2023年）的通知》（宁市环规〔2024〕2号），项目与宁德市“三线一单”分区管控方案要求符合性分析如下：</w:t>
            </w:r>
          </w:p>
          <w:p>
            <w:pPr>
              <w:pStyle w:val="32"/>
              <w:ind w:firstLine="480"/>
              <w:rPr>
                <w:color w:val="auto"/>
                <w:highlight w:val="none"/>
              </w:rPr>
            </w:pPr>
            <w:r>
              <w:rPr>
                <w:rFonts w:hint="eastAsia"/>
                <w:color w:val="auto"/>
                <w:highlight w:val="none"/>
              </w:rPr>
              <w:t>（1）生态保护红线</w:t>
            </w:r>
          </w:p>
          <w:p>
            <w:pPr>
              <w:pStyle w:val="32"/>
              <w:ind w:firstLine="480"/>
              <w:rPr>
                <w:color w:val="auto"/>
                <w:highlight w:val="none"/>
              </w:rPr>
            </w:pPr>
            <w:r>
              <w:rPr>
                <w:rFonts w:hint="eastAsia"/>
                <w:color w:val="auto"/>
                <w:highlight w:val="none"/>
              </w:rPr>
              <w:t>宁德市生态保护红线为全市生态空间范围内具有特殊重要生态功能、必须强制性严格保护的区域，包括水源涵养、生物多样性维护、水土保持、海岸防护等生态功能极重要区域，水土流失、海岸侵蚀及沙源流失等生态极脆弱区域，以及其他具有潜在重要生态价值的区域。</w:t>
            </w:r>
          </w:p>
          <w:p>
            <w:pPr>
              <w:pStyle w:val="32"/>
              <w:ind w:firstLine="480"/>
              <w:rPr>
                <w:color w:val="auto"/>
                <w:highlight w:val="none"/>
              </w:rPr>
            </w:pPr>
            <w:r>
              <w:rPr>
                <w:rFonts w:hint="eastAsia"/>
                <w:color w:val="auto"/>
                <w:highlight w:val="none"/>
              </w:rPr>
              <w:t>项目租用</w:t>
            </w:r>
            <w:r>
              <w:rPr>
                <w:rFonts w:hint="eastAsia"/>
                <w:color w:val="auto"/>
                <w:szCs w:val="21"/>
                <w:highlight w:val="none"/>
              </w:rPr>
              <w:t>保税物流中心（B型）</w:t>
            </w:r>
            <w:r>
              <w:rPr>
                <w:rFonts w:hint="eastAsia"/>
                <w:color w:val="auto"/>
                <w:highlight w:val="none"/>
                <w:lang w:val="en-US" w:eastAsia="zh-CN"/>
              </w:rPr>
              <w:t>内用地进行建设</w:t>
            </w:r>
            <w:r>
              <w:rPr>
                <w:rFonts w:hint="eastAsia"/>
                <w:color w:val="auto"/>
                <w:highlight w:val="none"/>
              </w:rPr>
              <w:t>，项目建设区未涉及生态保护红线，因此，项目建设与生态保护红线管控要求不冲突。</w:t>
            </w:r>
          </w:p>
          <w:p>
            <w:pPr>
              <w:pStyle w:val="32"/>
              <w:ind w:firstLine="480"/>
              <w:rPr>
                <w:color w:val="auto"/>
                <w:highlight w:val="none"/>
              </w:rPr>
            </w:pPr>
            <w:r>
              <w:rPr>
                <w:rFonts w:hint="eastAsia"/>
                <w:color w:val="auto"/>
                <w:highlight w:val="none"/>
              </w:rPr>
              <w:t>（2）环境质量底线</w:t>
            </w:r>
          </w:p>
          <w:p>
            <w:pPr>
              <w:pStyle w:val="32"/>
              <w:ind w:firstLine="480"/>
              <w:rPr>
                <w:color w:val="auto"/>
                <w:highlight w:val="none"/>
              </w:rPr>
            </w:pPr>
            <w:r>
              <w:rPr>
                <w:rFonts w:hint="eastAsia"/>
                <w:color w:val="auto"/>
                <w:highlight w:val="none"/>
              </w:rPr>
              <w:t>①水环境质量底线</w:t>
            </w:r>
          </w:p>
          <w:p>
            <w:pPr>
              <w:pStyle w:val="32"/>
              <w:ind w:firstLine="480"/>
              <w:rPr>
                <w:color w:val="auto"/>
                <w:highlight w:val="none"/>
              </w:rPr>
            </w:pPr>
            <w:r>
              <w:rPr>
                <w:rFonts w:hint="eastAsia"/>
                <w:color w:val="auto"/>
                <w:highlight w:val="none"/>
              </w:rPr>
              <w:t>到2025年，全市主要流域国、省控断面水质优良（达到或优于Ⅲ类）比例总体达100%，县级以上集中式饮用水水源水质达标率达100%。到2030年，全市主要流域国、省控断面水质优良（达到或优于Ⅲ类）比例总体达100%，县级以上城市建成区黑臭水体总体得到消除，县级以上集中式饮用水水源水质稳定达标。</w:t>
            </w:r>
          </w:p>
          <w:p>
            <w:pPr>
              <w:pStyle w:val="32"/>
              <w:ind w:firstLine="480"/>
              <w:rPr>
                <w:color w:val="auto"/>
                <w:highlight w:val="none"/>
              </w:rPr>
            </w:pPr>
            <w:r>
              <w:rPr>
                <w:rFonts w:hint="eastAsia"/>
                <w:color w:val="auto"/>
                <w:highlight w:val="none"/>
              </w:rPr>
              <w:t>到2035年，全市主要流域国、省控断面水质优良（达到或优于Ⅲ类）比例总体</w:t>
            </w:r>
            <w:r>
              <w:rPr>
                <w:rFonts w:hint="eastAsia"/>
                <w:color w:val="auto"/>
                <w:highlight w:val="none"/>
                <w:lang w:eastAsia="zh-CN"/>
              </w:rPr>
              <w:t>达到</w:t>
            </w:r>
            <w:r>
              <w:rPr>
                <w:rFonts w:hint="eastAsia"/>
                <w:color w:val="auto"/>
                <w:highlight w:val="none"/>
              </w:rPr>
              <w:t>100%，水生态系统实现良性循环。</w:t>
            </w:r>
          </w:p>
          <w:p>
            <w:pPr>
              <w:pStyle w:val="32"/>
              <w:ind w:firstLine="480"/>
              <w:rPr>
                <w:color w:val="auto"/>
                <w:highlight w:val="none"/>
              </w:rPr>
            </w:pPr>
            <w:r>
              <w:rPr>
                <w:rFonts w:hint="eastAsia"/>
                <w:color w:val="auto"/>
                <w:highlight w:val="none"/>
              </w:rPr>
              <w:t>本项目生产废水处理后回用；</w:t>
            </w: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r>
              <w:rPr>
                <w:rFonts w:hint="eastAsia"/>
                <w:color w:val="auto"/>
                <w:highlight w:val="none"/>
              </w:rPr>
              <w:t>，</w:t>
            </w:r>
            <w:r>
              <w:rPr>
                <w:rFonts w:hint="eastAsia"/>
                <w:color w:val="auto"/>
                <w:spacing w:val="-8"/>
                <w:highlight w:val="none"/>
              </w:rPr>
              <w:t>漳湾临港工业区临时一体化污水处理厂</w:t>
            </w:r>
            <w:r>
              <w:rPr>
                <w:rFonts w:hint="eastAsia"/>
                <w:color w:val="auto"/>
                <w:highlight w:val="none"/>
              </w:rPr>
              <w:t>出水执行《城镇污水处理厂综合排放标准》(GB18918-2002)中的一级A标准，达标后排入三都澳，本项目污水排放对周边水环境的影响较小。</w:t>
            </w:r>
          </w:p>
          <w:p>
            <w:pPr>
              <w:pStyle w:val="32"/>
              <w:ind w:firstLine="480"/>
              <w:rPr>
                <w:color w:val="auto"/>
                <w:highlight w:val="none"/>
              </w:rPr>
            </w:pPr>
            <w:r>
              <w:rPr>
                <w:rFonts w:hint="eastAsia"/>
                <w:color w:val="auto"/>
                <w:highlight w:val="none"/>
              </w:rPr>
              <w:t>②大气环境质量底线</w:t>
            </w:r>
          </w:p>
          <w:p>
            <w:pPr>
              <w:pStyle w:val="32"/>
              <w:ind w:firstLine="480"/>
              <w:rPr>
                <w:color w:val="auto"/>
                <w:highlight w:val="none"/>
              </w:rPr>
            </w:pPr>
            <w:r>
              <w:rPr>
                <w:color w:val="auto"/>
                <w:highlight w:val="none"/>
              </w:rPr>
              <w:t>到2025年，中心城区PM</w:t>
            </w:r>
            <w:r>
              <w:rPr>
                <w:color w:val="auto"/>
                <w:highlight w:val="none"/>
                <w:vertAlign w:val="subscript"/>
              </w:rPr>
              <w:t>2.5</w:t>
            </w:r>
            <w:r>
              <w:rPr>
                <w:color w:val="auto"/>
                <w:highlight w:val="none"/>
              </w:rPr>
              <w:t>年平均浓度不高于23μg</w:t>
            </w:r>
            <w:r>
              <w:rPr>
                <w:rFonts w:hint="eastAsia"/>
                <w:color w:val="auto"/>
                <w:highlight w:val="none"/>
              </w:rPr>
              <w:t>/m</w:t>
            </w:r>
            <w:r>
              <w:rPr>
                <w:rFonts w:hint="eastAsia"/>
                <w:color w:val="auto"/>
                <w:highlight w:val="none"/>
                <w:vertAlign w:val="superscript"/>
              </w:rPr>
              <w:t>3</w:t>
            </w:r>
            <w:r>
              <w:rPr>
                <w:rFonts w:hint="eastAsia"/>
                <w:color w:val="auto"/>
                <w:highlight w:val="none"/>
              </w:rPr>
              <w:t>。到2035年，县级以上地区空气质量PM</w:t>
            </w:r>
            <w:r>
              <w:rPr>
                <w:rFonts w:hint="eastAsia"/>
                <w:color w:val="auto"/>
                <w:highlight w:val="none"/>
                <w:vertAlign w:val="subscript"/>
              </w:rPr>
              <w:t>2.5</w:t>
            </w:r>
            <w:r>
              <w:rPr>
                <w:rFonts w:hint="eastAsia"/>
                <w:color w:val="auto"/>
                <w:highlight w:val="none"/>
              </w:rPr>
              <w:t>年平均浓度不高于18</w:t>
            </w:r>
            <w:r>
              <w:rPr>
                <w:color w:val="auto"/>
                <w:highlight w:val="none"/>
              </w:rPr>
              <w:t>μ</w:t>
            </w:r>
            <w:r>
              <w:rPr>
                <w:rFonts w:hint="eastAsia"/>
                <w:color w:val="auto"/>
                <w:highlight w:val="none"/>
              </w:rPr>
              <w:t>g/m</w:t>
            </w:r>
            <w:r>
              <w:rPr>
                <w:rFonts w:hint="eastAsia"/>
                <w:color w:val="auto"/>
                <w:highlight w:val="none"/>
                <w:vertAlign w:val="superscript"/>
              </w:rPr>
              <w:t>3</w:t>
            </w:r>
            <w:r>
              <w:rPr>
                <w:rFonts w:hint="eastAsia"/>
                <w:color w:val="auto"/>
                <w:highlight w:val="none"/>
              </w:rPr>
              <w:t>。</w:t>
            </w:r>
          </w:p>
          <w:p>
            <w:pPr>
              <w:pStyle w:val="32"/>
              <w:ind w:firstLine="480"/>
              <w:rPr>
                <w:color w:val="auto"/>
                <w:highlight w:val="none"/>
              </w:rPr>
            </w:pPr>
            <w:r>
              <w:rPr>
                <w:rFonts w:hint="eastAsia"/>
                <w:color w:val="auto"/>
                <w:highlight w:val="none"/>
              </w:rPr>
              <w:t>本项目排放的废气主要为粉尘，在采取处理措施处理后可做到达标排放，与高排放重点管控区管控要求不冲突，不对大气环境质量底线产生冲击。</w:t>
            </w:r>
          </w:p>
          <w:p>
            <w:pPr>
              <w:pStyle w:val="32"/>
              <w:ind w:firstLine="480"/>
              <w:rPr>
                <w:color w:val="auto"/>
                <w:highlight w:val="none"/>
              </w:rPr>
            </w:pPr>
            <w:r>
              <w:rPr>
                <w:rFonts w:hint="eastAsia"/>
                <w:color w:val="auto"/>
                <w:highlight w:val="none"/>
              </w:rPr>
              <w:t>③土壤环境风险管控底线</w:t>
            </w:r>
          </w:p>
          <w:p>
            <w:pPr>
              <w:pStyle w:val="32"/>
              <w:ind w:firstLine="480"/>
              <w:rPr>
                <w:color w:val="auto"/>
                <w:highlight w:val="none"/>
              </w:rPr>
            </w:pPr>
            <w:r>
              <w:rPr>
                <w:rFonts w:hint="eastAsia"/>
                <w:color w:val="auto"/>
                <w:highlight w:val="none"/>
              </w:rPr>
              <w:t>到2025年，全市土壤环境质量保持稳定，土壤环境风险得到管控，受污染耕地和污染地块安全利用率达93%以上。到2035年，全市土壤环境质量稳中向好，土壤环境风险得到全面管控，受污染耕地和污染地块安全利用率达95%以上。宁德市环境质量底线分阶段最终控制目标以国家和省下达的目标为准。</w:t>
            </w:r>
          </w:p>
          <w:p>
            <w:pPr>
              <w:pStyle w:val="32"/>
              <w:ind w:firstLine="480"/>
              <w:rPr>
                <w:color w:val="auto"/>
                <w:highlight w:val="none"/>
              </w:rPr>
            </w:pPr>
            <w:r>
              <w:rPr>
                <w:rFonts w:hint="eastAsia"/>
                <w:color w:val="auto"/>
                <w:highlight w:val="none"/>
              </w:rPr>
              <w:t>本项目生产工艺简单，废水仅排放生活污水，废气污染物主要为少量粉尘，对土壤污染的影响较小，与建设用地污染风险重点管控区要求不冲突。</w:t>
            </w:r>
          </w:p>
          <w:p>
            <w:pPr>
              <w:pStyle w:val="32"/>
              <w:ind w:firstLine="480"/>
              <w:rPr>
                <w:color w:val="auto"/>
                <w:highlight w:val="none"/>
              </w:rPr>
            </w:pPr>
            <w:r>
              <w:rPr>
                <w:rFonts w:hint="eastAsia"/>
                <w:color w:val="auto"/>
                <w:highlight w:val="none"/>
              </w:rPr>
              <w:t>（3）资源利用上线</w:t>
            </w:r>
          </w:p>
          <w:p>
            <w:pPr>
              <w:pStyle w:val="32"/>
              <w:ind w:firstLine="480"/>
              <w:rPr>
                <w:color w:val="auto"/>
                <w:highlight w:val="none"/>
              </w:rPr>
            </w:pPr>
            <w:r>
              <w:rPr>
                <w:rFonts w:hint="eastAsia"/>
                <w:color w:val="auto"/>
                <w:highlight w:val="none"/>
              </w:rPr>
              <w:t>水资源利用上线衔接水资源管理“三条红线”，土地资源利用上线衔接国土空间总体规划要求，能源资源利用上线衔接节能减排、能源规划等文件要求，具体控制目标以省下达的目标为准。岸线资源利用上线以岸线利用现状为基础，衔接生态保护红线划定成果、海洋功能区划、环境功能区划等成果中对于海岸线资源保护和利用的相关要求和规划，并综合考虑宁德市实际发展需求，在不影响沿岸生态环境及岸线安全的前提下，合理规划岸线资源管控分区，确定岸线资源利用上线。待国土空间总体规划及岸线修测成果发布后确定优先保护、重点管控、一般管控岸线的长度和比例。</w:t>
            </w:r>
          </w:p>
          <w:p>
            <w:pPr>
              <w:pStyle w:val="32"/>
              <w:ind w:firstLine="480"/>
              <w:rPr>
                <w:color w:val="auto"/>
                <w:highlight w:val="none"/>
              </w:rPr>
            </w:pPr>
            <w:r>
              <w:rPr>
                <w:rFonts w:hint="eastAsia"/>
                <w:color w:val="auto"/>
                <w:highlight w:val="none"/>
              </w:rPr>
              <w:t>项目用水来自市政用水，与宁德市水资源利用上线管控要求相符；租用保税物流中心（B型）</w:t>
            </w:r>
            <w:r>
              <w:rPr>
                <w:rFonts w:hint="eastAsia"/>
                <w:color w:val="auto"/>
                <w:highlight w:val="none"/>
                <w:lang w:val="en-US" w:eastAsia="zh-CN"/>
              </w:rPr>
              <w:t>用地</w:t>
            </w:r>
            <w:r>
              <w:rPr>
                <w:rFonts w:hint="eastAsia"/>
                <w:color w:val="auto"/>
                <w:highlight w:val="none"/>
              </w:rPr>
              <w:t>进行</w:t>
            </w:r>
            <w:r>
              <w:rPr>
                <w:rFonts w:hint="eastAsia"/>
                <w:color w:val="auto"/>
                <w:highlight w:val="none"/>
                <w:lang w:val="en-US" w:eastAsia="zh-CN"/>
              </w:rPr>
              <w:t>建设</w:t>
            </w:r>
            <w:r>
              <w:rPr>
                <w:rFonts w:hint="eastAsia"/>
                <w:color w:val="auto"/>
                <w:highlight w:val="none"/>
              </w:rPr>
              <w:t>，满足土地承载力要求，符合重点管控区要求；项目消耗一定的电源，消耗量相对区域资源利用总量较小，不涉及能源资源利用上限。</w:t>
            </w:r>
          </w:p>
          <w:p>
            <w:pPr>
              <w:pStyle w:val="32"/>
              <w:ind w:firstLine="480"/>
              <w:rPr>
                <w:color w:val="auto"/>
                <w:highlight w:val="none"/>
              </w:rPr>
            </w:pPr>
            <w:r>
              <w:rPr>
                <w:rFonts w:hint="eastAsia"/>
                <w:color w:val="auto"/>
                <w:highlight w:val="none"/>
              </w:rPr>
              <w:t>综上，项目与宁德市能源资源利用上线要求相符。</w:t>
            </w:r>
          </w:p>
          <w:p>
            <w:pPr>
              <w:pStyle w:val="32"/>
              <w:ind w:firstLine="480"/>
              <w:rPr>
                <w:color w:val="auto"/>
                <w:highlight w:val="none"/>
              </w:rPr>
            </w:pPr>
            <w:r>
              <w:rPr>
                <w:rFonts w:hint="eastAsia"/>
                <w:color w:val="auto"/>
                <w:highlight w:val="none"/>
              </w:rPr>
              <w:t>(4)生态环境准入清单</w:t>
            </w:r>
          </w:p>
          <w:p>
            <w:pPr>
              <w:pStyle w:val="32"/>
              <w:ind w:firstLine="480"/>
              <w:rPr>
                <w:color w:val="auto"/>
                <w:highlight w:val="none"/>
              </w:rPr>
            </w:pPr>
            <w:r>
              <w:rPr>
                <w:rFonts w:hint="eastAsia"/>
                <w:color w:val="auto"/>
                <w:highlight w:val="none"/>
              </w:rPr>
              <w:t>对照宁德市生态环境分区管控方案，本项目涉及</w:t>
            </w:r>
            <w:r>
              <w:rPr>
                <w:rFonts w:hint="eastAsia"/>
                <w:color w:val="auto"/>
                <w:highlight w:val="none"/>
                <w:lang w:val="en-US" w:eastAsia="zh-CN"/>
              </w:rPr>
              <w:t>2</w:t>
            </w:r>
            <w:r>
              <w:rPr>
                <w:rFonts w:hint="eastAsia"/>
                <w:color w:val="auto"/>
                <w:highlight w:val="none"/>
              </w:rPr>
              <w:t>个生态环境管控单元，其中重点管控单元</w:t>
            </w:r>
            <w:r>
              <w:rPr>
                <w:rFonts w:hint="eastAsia"/>
                <w:color w:val="auto"/>
                <w:highlight w:val="none"/>
                <w:lang w:val="en-US" w:eastAsia="zh-CN"/>
              </w:rPr>
              <w:t>2</w:t>
            </w:r>
            <w:r>
              <w:rPr>
                <w:rFonts w:hint="eastAsia"/>
                <w:color w:val="auto"/>
                <w:highlight w:val="none"/>
              </w:rPr>
              <w:t>个。其符合性分析如下表所示，可得项目建设内容符合相应管控单元管控要求。</w:t>
            </w:r>
          </w:p>
          <w:p>
            <w:pPr>
              <w:pStyle w:val="36"/>
              <w:rPr>
                <w:snapToGrid w:val="0"/>
                <w:color w:val="auto"/>
                <w:kern w:val="0"/>
                <w:szCs w:val="21"/>
                <w:highlight w:val="none"/>
              </w:rPr>
            </w:pPr>
            <w:r>
              <w:rPr>
                <w:rFonts w:hint="eastAsia"/>
                <w:snapToGrid w:val="0"/>
                <w:color w:val="auto"/>
                <w:kern w:val="0"/>
                <w:szCs w:val="21"/>
                <w:highlight w:val="none"/>
              </w:rPr>
              <w:t>表1.1.</w:t>
            </w:r>
            <w:r>
              <w:rPr>
                <w:rFonts w:hint="eastAsia"/>
                <w:snapToGrid w:val="0"/>
                <w:color w:val="auto"/>
                <w:kern w:val="0"/>
                <w:szCs w:val="21"/>
                <w:highlight w:val="none"/>
                <w:lang w:val="en-US" w:eastAsia="zh-CN"/>
              </w:rPr>
              <w:t>1</w:t>
            </w:r>
            <w:r>
              <w:rPr>
                <w:rFonts w:hint="eastAsia"/>
                <w:snapToGrid w:val="0"/>
                <w:color w:val="auto"/>
                <w:kern w:val="0"/>
                <w:szCs w:val="21"/>
                <w:highlight w:val="none"/>
              </w:rPr>
              <w:t xml:space="preserve">  项目与管控单元符合性分析表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9"/>
              <w:gridCol w:w="427"/>
              <w:gridCol w:w="3555"/>
              <w:gridCol w:w="1928"/>
              <w:gridCol w:w="5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Align w:val="center"/>
                </w:tcPr>
                <w:p>
                  <w:pPr>
                    <w:pStyle w:val="35"/>
                    <w:rPr>
                      <w:color w:val="auto"/>
                      <w:highlight w:val="none"/>
                    </w:rPr>
                  </w:pPr>
                  <w:r>
                    <w:rPr>
                      <w:rFonts w:hint="eastAsia"/>
                      <w:color w:val="auto"/>
                      <w:highlight w:val="none"/>
                    </w:rPr>
                    <w:t>管控单元名称</w:t>
                  </w:r>
                </w:p>
              </w:tc>
              <w:tc>
                <w:tcPr>
                  <w:tcW w:w="2435" w:type="pct"/>
                  <w:gridSpan w:val="2"/>
                  <w:vAlign w:val="center"/>
                </w:tcPr>
                <w:p>
                  <w:pPr>
                    <w:pStyle w:val="35"/>
                    <w:rPr>
                      <w:color w:val="auto"/>
                      <w:highlight w:val="none"/>
                    </w:rPr>
                  </w:pPr>
                  <w:r>
                    <w:rPr>
                      <w:rFonts w:hint="eastAsia"/>
                      <w:color w:val="auto"/>
                      <w:highlight w:val="none"/>
                    </w:rPr>
                    <w:t>管控单元要求</w:t>
                  </w:r>
                </w:p>
              </w:tc>
              <w:tc>
                <w:tcPr>
                  <w:tcW w:w="1179" w:type="pct"/>
                  <w:vAlign w:val="center"/>
                </w:tcPr>
                <w:p>
                  <w:pPr>
                    <w:pStyle w:val="35"/>
                    <w:rPr>
                      <w:color w:val="auto"/>
                      <w:highlight w:val="none"/>
                    </w:rPr>
                  </w:pPr>
                  <w:r>
                    <w:rPr>
                      <w:rFonts w:hint="eastAsia"/>
                      <w:color w:val="auto"/>
                      <w:highlight w:val="none"/>
                    </w:rPr>
                    <w:t>本项目情况</w:t>
                  </w:r>
                </w:p>
              </w:tc>
              <w:tc>
                <w:tcPr>
                  <w:tcW w:w="310" w:type="pct"/>
                  <w:vAlign w:val="center"/>
                </w:tcPr>
                <w:p>
                  <w:pPr>
                    <w:pStyle w:val="35"/>
                    <w:rPr>
                      <w:color w:val="auto"/>
                      <w:highlight w:val="none"/>
                    </w:rPr>
                  </w:pPr>
                  <w:r>
                    <w:rPr>
                      <w:rFonts w:hint="eastAsia"/>
                      <w:color w:val="auto"/>
                      <w:highlight w:val="none"/>
                    </w:rPr>
                    <w:t>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restart"/>
                  <w:vAlign w:val="center"/>
                </w:tcPr>
                <w:p>
                  <w:pPr>
                    <w:pStyle w:val="35"/>
                    <w:rPr>
                      <w:color w:val="auto"/>
                      <w:highlight w:val="none"/>
                    </w:rPr>
                  </w:pPr>
                  <w:r>
                    <w:rPr>
                      <w:color w:val="auto"/>
                      <w:highlight w:val="none"/>
                    </w:rPr>
                    <w:t>蕉城区重点管控单元1（ZH35090220002）</w:t>
                  </w:r>
                </w:p>
              </w:tc>
              <w:tc>
                <w:tcPr>
                  <w:tcW w:w="261" w:type="pct"/>
                  <w:vAlign w:val="center"/>
                </w:tcPr>
                <w:p>
                  <w:pPr>
                    <w:pStyle w:val="35"/>
                    <w:rPr>
                      <w:color w:val="auto"/>
                      <w:highlight w:val="none"/>
                    </w:rPr>
                  </w:pPr>
                  <w:r>
                    <w:rPr>
                      <w:rFonts w:hint="eastAsia"/>
                      <w:color w:val="auto"/>
                      <w:highlight w:val="none"/>
                    </w:rPr>
                    <w:t>空间布局约束</w:t>
                  </w:r>
                </w:p>
              </w:tc>
              <w:tc>
                <w:tcPr>
                  <w:tcW w:w="2174" w:type="pct"/>
                  <w:vAlign w:val="center"/>
                </w:tcPr>
                <w:p>
                  <w:pPr>
                    <w:pStyle w:val="35"/>
                    <w:rPr>
                      <w:color w:val="auto"/>
                      <w:highlight w:val="none"/>
                    </w:rPr>
                  </w:pPr>
                  <w:r>
                    <w:rPr>
                      <w:rFonts w:hint="eastAsia"/>
                      <w:color w:val="auto"/>
                      <w:highlight w:val="none"/>
                    </w:rPr>
                    <w:t>1.严禁在城镇人口密集区新建危险化学品生产企业；现有不符合安全和卫生防护距离要求的危险化学品生产企业2025年底前完成就地改造达标、搬迁进入规范化工园区或关闭退出。2.禁止开发利用未经评估和无害化处理的列入建设用地污染地块名录及开发利用负面清单的土地。3.禁止在大气环境受体敏感重点管控区新建、扩建石化、化工、焦化、有色等高污染、高风险的涉气项目。</w:t>
                  </w:r>
                </w:p>
              </w:tc>
              <w:tc>
                <w:tcPr>
                  <w:tcW w:w="1179" w:type="pct"/>
                  <w:vAlign w:val="center"/>
                </w:tcPr>
                <w:p>
                  <w:pPr>
                    <w:pStyle w:val="35"/>
                    <w:rPr>
                      <w:color w:val="auto"/>
                      <w:highlight w:val="none"/>
                    </w:rPr>
                  </w:pPr>
                  <w:r>
                    <w:rPr>
                      <w:rFonts w:hint="eastAsia"/>
                      <w:color w:val="auto"/>
                      <w:highlight w:val="none"/>
                    </w:rPr>
                    <w:t>1.项目为混矿项目，不属于危险化学品生产企业；2.位于宁德保税物流中心（B型），不属于列入建设用地污染地块名录及开发利用负面清单的土地；3.项目周边500m无大气环境保护目标，不属于大气环境受体敏感重点管控区，生产过程仅产生少量粉尘，不属于石化、化工、焦化、有色等高污染、高风险的涉气项目。</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污染物排放管控</w:t>
                  </w:r>
                </w:p>
              </w:tc>
              <w:tc>
                <w:tcPr>
                  <w:tcW w:w="2174" w:type="pct"/>
                  <w:vAlign w:val="center"/>
                </w:tcPr>
                <w:p>
                  <w:pPr>
                    <w:pStyle w:val="35"/>
                    <w:rPr>
                      <w:color w:val="auto"/>
                      <w:highlight w:val="none"/>
                    </w:rPr>
                  </w:pPr>
                  <w:r>
                    <w:rPr>
                      <w:rFonts w:hint="eastAsia"/>
                      <w:color w:val="auto"/>
                      <w:highlight w:val="none"/>
                    </w:rPr>
                    <w:t>1.在城市建成区新建大气污染型项目，二氧化硫、氮氧化物排放量应按照福建省排污权相关政策要求落实。2.加快区内污水管网的建设工程，确保工业企业的所有废(污)水都纳管集中处理，鼓励企业中水回用。</w:t>
                  </w:r>
                </w:p>
              </w:tc>
              <w:tc>
                <w:tcPr>
                  <w:tcW w:w="1179" w:type="pct"/>
                  <w:vAlign w:val="center"/>
                </w:tcPr>
                <w:p>
                  <w:pPr>
                    <w:pStyle w:val="35"/>
                    <w:rPr>
                      <w:color w:val="auto"/>
                      <w:highlight w:val="none"/>
                    </w:rPr>
                  </w:pPr>
                  <w:r>
                    <w:rPr>
                      <w:rFonts w:hint="eastAsia"/>
                      <w:color w:val="auto"/>
                      <w:highlight w:val="none"/>
                    </w:rPr>
                    <w:t>1.</w:t>
                  </w:r>
                  <w:r>
                    <w:rPr>
                      <w:color w:val="auto"/>
                      <w:highlight w:val="none"/>
                    </w:rPr>
                    <w:t>本项目</w:t>
                  </w:r>
                  <w:r>
                    <w:rPr>
                      <w:rFonts w:hint="eastAsia"/>
                      <w:color w:val="auto"/>
                      <w:highlight w:val="none"/>
                    </w:rPr>
                    <w:t>为混矿项目，在</w:t>
                  </w:r>
                  <w:r>
                    <w:rPr>
                      <w:rFonts w:hint="eastAsia"/>
                      <w:color w:val="auto"/>
                      <w:highlight w:val="none"/>
                      <w:lang w:eastAsia="zh-CN"/>
                    </w:rPr>
                    <w:t>封闭</w:t>
                  </w:r>
                  <w:r>
                    <w:rPr>
                      <w:rFonts w:hint="eastAsia"/>
                      <w:color w:val="auto"/>
                      <w:highlight w:val="none"/>
                    </w:rPr>
                    <w:t>仓库内简单混配，废气主要包括原料输送粉尘、原料区及产品区扬尘、混矿生产线粉尘等，不涉及二氧化硫、氮氧化物排放；2.本项目无生产废水排放，</w:t>
                  </w: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r>
                    <w:rPr>
                      <w:rFonts w:hint="eastAsia"/>
                      <w:color w:val="auto"/>
                      <w:highlight w:val="none"/>
                    </w:rPr>
                    <w:t>。</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环境风险防控</w:t>
                  </w:r>
                </w:p>
              </w:tc>
              <w:tc>
                <w:tcPr>
                  <w:tcW w:w="2174" w:type="pct"/>
                  <w:vAlign w:val="center"/>
                </w:tcPr>
                <w:p>
                  <w:pPr>
                    <w:pStyle w:val="35"/>
                    <w:jc w:val="left"/>
                    <w:rPr>
                      <w:color w:val="auto"/>
                      <w:highlight w:val="none"/>
                    </w:rPr>
                  </w:pPr>
                  <w:r>
                    <w:rPr>
                      <w:rFonts w:hint="eastAsia"/>
                      <w:color w:val="auto"/>
                      <w:highlight w:val="none"/>
                    </w:rPr>
                    <w:t>1.严防拆除活动污染土壤。严格监管重点行业企业拆除活动，在拆除生产设施设备、构筑物和污染治理设施活动时，要严格按照国家有关规定，事先制定残留污染物清理和安全处置方案，并报所在地县级环境保护、经信部门备案。2.单元内现化学原料和化学制品制造业等具有潜在土壤污染环境风险的企业，应建立风险管控制度，完善污染治理设施，储备应急物资。应定期开展环境污染治理设施运行情况巡查，严格监管拆除活动，在拆除生产设施设备、构筑物和污染治理设施活动时，要严格按照国家有关规定，事先制定残留污染物清理和安全处置方案。</w:t>
                  </w:r>
                </w:p>
              </w:tc>
              <w:tc>
                <w:tcPr>
                  <w:tcW w:w="1179" w:type="pct"/>
                  <w:vAlign w:val="center"/>
                </w:tcPr>
                <w:p>
                  <w:pPr>
                    <w:pStyle w:val="35"/>
                    <w:rPr>
                      <w:color w:val="auto"/>
                      <w:highlight w:val="none"/>
                    </w:rPr>
                  </w:pPr>
                  <w:r>
                    <w:rPr>
                      <w:rFonts w:hint="eastAsia"/>
                      <w:color w:val="auto"/>
                      <w:highlight w:val="none"/>
                    </w:rPr>
                    <w:t>1.不涉及；2.不属于化学原料和化学制品制造业。</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资源开发效率要求</w:t>
                  </w:r>
                </w:p>
              </w:tc>
              <w:tc>
                <w:tcPr>
                  <w:tcW w:w="2174" w:type="pct"/>
                  <w:vAlign w:val="center"/>
                </w:tcPr>
                <w:p>
                  <w:pPr>
                    <w:pStyle w:val="35"/>
                    <w:rPr>
                      <w:color w:val="auto"/>
                      <w:highlight w:val="none"/>
                    </w:rPr>
                  </w:pPr>
                  <w:r>
                    <w:rPr>
                      <w:rFonts w:hint="eastAsia"/>
                      <w:color w:val="auto"/>
                      <w:highlight w:val="none"/>
                    </w:rPr>
                    <w:t>禁止使用、销售高污染燃料。禁燃区内，禁止销售、燃用高污染燃料，禁止新建、改建、扩建燃用高污染燃料的设施。已建成使用高污染燃料的各类设备应拆除或改用管道天然气、液化石油气、电、生物质成型燃料等清洁能源。</w:t>
                  </w:r>
                </w:p>
              </w:tc>
              <w:tc>
                <w:tcPr>
                  <w:tcW w:w="1179" w:type="pct"/>
                  <w:vAlign w:val="center"/>
                </w:tcPr>
                <w:p>
                  <w:pPr>
                    <w:pStyle w:val="35"/>
                    <w:rPr>
                      <w:color w:val="auto"/>
                      <w:highlight w:val="none"/>
                    </w:rPr>
                  </w:pPr>
                  <w:r>
                    <w:rPr>
                      <w:rFonts w:hint="eastAsia"/>
                      <w:color w:val="auto"/>
                      <w:highlight w:val="none"/>
                    </w:rPr>
                    <w:t>本项目不涉及高污染燃料的使用。</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1075" w:type="pct"/>
                  <w:vMerge w:val="restart"/>
                  <w:vAlign w:val="center"/>
                </w:tcPr>
                <w:p>
                  <w:pPr>
                    <w:pStyle w:val="35"/>
                    <w:rPr>
                      <w:color w:val="auto"/>
                      <w:highlight w:val="none"/>
                    </w:rPr>
                  </w:pPr>
                  <w:r>
                    <w:rPr>
                      <w:rFonts w:hint="eastAsia"/>
                      <w:color w:val="auto"/>
                      <w:highlight w:val="none"/>
                    </w:rPr>
                    <w:t>城镇生活类重点管控单元</w:t>
                  </w:r>
                </w:p>
              </w:tc>
              <w:tc>
                <w:tcPr>
                  <w:tcW w:w="261" w:type="pct"/>
                  <w:vAlign w:val="center"/>
                </w:tcPr>
                <w:p>
                  <w:pPr>
                    <w:pStyle w:val="35"/>
                    <w:rPr>
                      <w:color w:val="auto"/>
                      <w:highlight w:val="none"/>
                    </w:rPr>
                  </w:pPr>
                  <w:r>
                    <w:rPr>
                      <w:rFonts w:hint="eastAsia"/>
                      <w:color w:val="auto"/>
                      <w:highlight w:val="none"/>
                    </w:rPr>
                    <w:t>空间布局约束</w:t>
                  </w:r>
                </w:p>
              </w:tc>
              <w:tc>
                <w:tcPr>
                  <w:tcW w:w="2174" w:type="pct"/>
                  <w:vAlign w:val="center"/>
                </w:tcPr>
                <w:p>
                  <w:pPr>
                    <w:pStyle w:val="35"/>
                    <w:rPr>
                      <w:color w:val="auto"/>
                      <w:highlight w:val="none"/>
                    </w:rPr>
                  </w:pPr>
                  <w:r>
                    <w:rPr>
                      <w:rFonts w:hint="eastAsia"/>
                      <w:color w:val="auto"/>
                      <w:highlight w:val="none"/>
                    </w:rPr>
                    <w:t>严禁在城镇人口密集区新建危险化学品生产企业；现有不符合安全和卫生防护距离要求的危险化学品生产企业2025年底前完成就地改造达标、搬迁进入规范化工园区或关闭退出。</w:t>
                  </w:r>
                </w:p>
              </w:tc>
              <w:tc>
                <w:tcPr>
                  <w:tcW w:w="1179" w:type="pct"/>
                  <w:vAlign w:val="center"/>
                </w:tcPr>
                <w:p>
                  <w:pPr>
                    <w:pStyle w:val="35"/>
                    <w:rPr>
                      <w:color w:val="auto"/>
                      <w:highlight w:val="none"/>
                    </w:rPr>
                  </w:pPr>
                  <w:r>
                    <w:rPr>
                      <w:rFonts w:hint="eastAsia"/>
                      <w:color w:val="auto"/>
                      <w:highlight w:val="none"/>
                    </w:rPr>
                    <w:t>本项目不涉及危险化学品生产。</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污染物排放管控</w:t>
                  </w:r>
                </w:p>
              </w:tc>
              <w:tc>
                <w:tcPr>
                  <w:tcW w:w="2174" w:type="pct"/>
                  <w:vAlign w:val="center"/>
                </w:tcPr>
                <w:p>
                  <w:pPr>
                    <w:pStyle w:val="35"/>
                    <w:rPr>
                      <w:color w:val="auto"/>
                      <w:highlight w:val="none"/>
                    </w:rPr>
                  </w:pPr>
                  <w:r>
                    <w:rPr>
                      <w:rFonts w:hint="eastAsia"/>
                      <w:color w:val="auto"/>
                      <w:highlight w:val="none"/>
                    </w:rPr>
                    <w:t>在城市建成区新建大气污染型项目，二氧化硫、氮氧化物排放量应实行倍量削减替代。</w:t>
                  </w:r>
                </w:p>
              </w:tc>
              <w:tc>
                <w:tcPr>
                  <w:tcW w:w="1179" w:type="pct"/>
                  <w:vAlign w:val="center"/>
                </w:tcPr>
                <w:p>
                  <w:pPr>
                    <w:pStyle w:val="35"/>
                    <w:rPr>
                      <w:color w:val="auto"/>
                      <w:highlight w:val="none"/>
                    </w:rPr>
                  </w:pPr>
                  <w:r>
                    <w:rPr>
                      <w:rFonts w:hint="eastAsia"/>
                      <w:color w:val="auto"/>
                      <w:highlight w:val="none"/>
                    </w:rPr>
                    <w:t>本项目不涉及二氧化硫、氮氧化物排放。</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restart"/>
                  <w:vAlign w:val="center"/>
                </w:tcPr>
                <w:p>
                  <w:pPr>
                    <w:pStyle w:val="35"/>
                    <w:rPr>
                      <w:color w:val="auto"/>
                      <w:highlight w:val="none"/>
                    </w:rPr>
                  </w:pPr>
                  <w:r>
                    <w:rPr>
                      <w:rFonts w:hint="eastAsia"/>
                      <w:color w:val="auto"/>
                      <w:highlight w:val="none"/>
                      <w:lang w:val="en-US" w:eastAsia="zh-CN"/>
                    </w:rPr>
                    <w:t>漳湾交通运输用海区</w:t>
                  </w:r>
                </w:p>
              </w:tc>
              <w:tc>
                <w:tcPr>
                  <w:tcW w:w="261" w:type="pct"/>
                  <w:vAlign w:val="center"/>
                </w:tcPr>
                <w:p>
                  <w:pPr>
                    <w:pStyle w:val="35"/>
                    <w:rPr>
                      <w:rFonts w:hint="eastAsia"/>
                      <w:color w:val="auto"/>
                      <w:highlight w:val="none"/>
                    </w:rPr>
                  </w:pPr>
                  <w:r>
                    <w:rPr>
                      <w:rFonts w:hint="eastAsia"/>
                      <w:color w:val="auto"/>
                      <w:highlight w:val="none"/>
                    </w:rPr>
                    <w:t>空间布局约束</w:t>
                  </w:r>
                </w:p>
              </w:tc>
              <w:tc>
                <w:tcPr>
                  <w:tcW w:w="2174" w:type="pct"/>
                  <w:vAlign w:val="center"/>
                </w:tcPr>
                <w:p>
                  <w:pPr>
                    <w:pStyle w:val="35"/>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禁止在港口区进行与港口作业无关或有碍港口作业安全的活动。禁止渔业增养殖、捕捞等用海活动。禁止准入排放含油废水的项目。2.落实国家围填海管控规定，除国家重大项目外，全面禁止围填海。依法依规集约利用，强化生态保护修复。3.保障港口用海，允许适度改变海域自然属性。4.保护深水港口岸线资源，河口区域交通运输工程建设应保障泄洪通道畅通和防洪防潮安全。</w:t>
                  </w:r>
                </w:p>
              </w:tc>
              <w:tc>
                <w:tcPr>
                  <w:tcW w:w="1179" w:type="pct"/>
                  <w:vAlign w:val="center"/>
                </w:tcPr>
                <w:p>
                  <w:pPr>
                    <w:pStyle w:val="35"/>
                    <w:rPr>
                      <w:rFonts w:hint="default" w:eastAsia="宋体"/>
                      <w:color w:val="auto"/>
                      <w:highlight w:val="none"/>
                      <w:lang w:val="en-US" w:eastAsia="zh-CN"/>
                    </w:rPr>
                  </w:pPr>
                  <w:r>
                    <w:rPr>
                      <w:rFonts w:hint="eastAsia"/>
                      <w:color w:val="auto"/>
                      <w:highlight w:val="none"/>
                      <w:lang w:val="en-US" w:eastAsia="zh-CN"/>
                    </w:rPr>
                    <w:t>1.本项目不属于妨</w:t>
                  </w:r>
                  <w:r>
                    <w:rPr>
                      <w:rFonts w:hint="eastAsia" w:ascii="Times New Roman" w:hAnsi="Times New Roman" w:eastAsia="宋体" w:cs="Times New Roman"/>
                      <w:color w:val="auto"/>
                      <w:highlight w:val="none"/>
                      <w:lang w:val="en-US" w:eastAsia="zh-CN"/>
                    </w:rPr>
                    <w:t>碍港口作业安全的活动，不排放含油废水。2.本项目租用</w:t>
                  </w:r>
                  <w:r>
                    <w:rPr>
                      <w:rFonts w:hint="eastAsia"/>
                      <w:color w:val="auto"/>
                      <w:highlight w:val="none"/>
                    </w:rPr>
                    <w:t>宁德保税物流中心（B型）</w:t>
                  </w:r>
                  <w:r>
                    <w:rPr>
                      <w:rFonts w:hint="eastAsia"/>
                      <w:color w:val="auto"/>
                      <w:highlight w:val="none"/>
                      <w:lang w:val="en-US" w:eastAsia="zh-CN"/>
                    </w:rPr>
                    <w:t>用地</w:t>
                  </w:r>
                  <w:r>
                    <w:rPr>
                      <w:rFonts w:hint="eastAsia"/>
                      <w:color w:val="auto"/>
                      <w:highlight w:val="none"/>
                    </w:rPr>
                    <w:t>建设</w:t>
                  </w:r>
                  <w:r>
                    <w:rPr>
                      <w:rFonts w:hint="eastAsia"/>
                      <w:color w:val="auto"/>
                      <w:highlight w:val="none"/>
                      <w:lang w:eastAsia="zh-CN"/>
                    </w:rPr>
                    <w:t>，</w:t>
                  </w:r>
                  <w:r>
                    <w:rPr>
                      <w:rFonts w:hint="eastAsia"/>
                      <w:color w:val="auto"/>
                      <w:highlight w:val="none"/>
                      <w:lang w:val="en-US" w:eastAsia="zh-CN"/>
                    </w:rPr>
                    <w:t>不涉及</w:t>
                  </w:r>
                  <w:r>
                    <w:rPr>
                      <w:rFonts w:hint="eastAsia" w:ascii="Times New Roman" w:hAnsi="Times New Roman" w:eastAsia="宋体" w:cs="Times New Roman"/>
                      <w:color w:val="auto"/>
                      <w:highlight w:val="none"/>
                      <w:lang w:val="en-US" w:eastAsia="zh-CN"/>
                    </w:rPr>
                    <w:t>围填海。3.本项目不改变海域自然属性。4.本项目不影响泄洪通道畅通和防洪防潮安全。</w:t>
                  </w:r>
                </w:p>
              </w:tc>
              <w:tc>
                <w:tcPr>
                  <w:tcW w:w="310" w:type="pct"/>
                  <w:vAlign w:val="center"/>
                </w:tcPr>
                <w:p>
                  <w:pPr>
                    <w:pStyle w:val="35"/>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rFonts w:hint="eastAsia"/>
                      <w:color w:val="auto"/>
                      <w:highlight w:val="none"/>
                    </w:rPr>
                  </w:pPr>
                  <w:r>
                    <w:rPr>
                      <w:rFonts w:hint="eastAsia"/>
                      <w:color w:val="auto"/>
                      <w:highlight w:val="none"/>
                    </w:rPr>
                    <w:t>污染物排放管控</w:t>
                  </w:r>
                </w:p>
              </w:tc>
              <w:tc>
                <w:tcPr>
                  <w:tcW w:w="2174" w:type="pct"/>
                  <w:vAlign w:val="center"/>
                </w:tcPr>
                <w:p>
                  <w:pPr>
                    <w:pStyle w:val="35"/>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建设港口船舶含油污水、压载水、洗舱水和船舶垃圾接收处理设施，严格控制港区污染物的排放，不得对官井洋大黄鱼繁殖保护区等海洋环境造成污染。2.禁止船舶及相关作业活动违法向海洋排放油类、油性混合物，含油污水及其他污水，船舶垃圾、废弃物和其他有毒有害物质。3.严格执行船舶污染物排放标准，实施船舶水污染物分类管理。严禁未取得船检证书的新建船舶投入运营。</w:t>
                  </w:r>
                </w:p>
              </w:tc>
              <w:tc>
                <w:tcPr>
                  <w:tcW w:w="1179" w:type="pct"/>
                  <w:vAlign w:val="center"/>
                </w:tcPr>
                <w:p>
                  <w:pPr>
                    <w:pStyle w:val="35"/>
                    <w:rPr>
                      <w:rFonts w:hint="default" w:eastAsia="宋体"/>
                      <w:color w:val="auto"/>
                      <w:highlight w:val="none"/>
                      <w:lang w:val="en-US" w:eastAsia="zh-CN"/>
                    </w:rPr>
                  </w:pPr>
                  <w:r>
                    <w:rPr>
                      <w:rFonts w:hint="eastAsia"/>
                      <w:color w:val="auto"/>
                      <w:highlight w:val="none"/>
                      <w:lang w:val="en-US" w:eastAsia="zh-CN"/>
                    </w:rPr>
                    <w:t>1.不涉及；2.不涉及；3.不涉及。</w:t>
                  </w:r>
                </w:p>
              </w:tc>
              <w:tc>
                <w:tcPr>
                  <w:tcW w:w="310" w:type="pct"/>
                  <w:vAlign w:val="center"/>
                </w:tcPr>
                <w:p>
                  <w:pPr>
                    <w:pStyle w:val="35"/>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rFonts w:hint="eastAsia"/>
                      <w:color w:val="auto"/>
                      <w:highlight w:val="none"/>
                    </w:rPr>
                  </w:pPr>
                  <w:r>
                    <w:rPr>
                      <w:rFonts w:hint="eastAsia"/>
                      <w:color w:val="auto"/>
                      <w:highlight w:val="none"/>
                    </w:rPr>
                    <w:t>环境风险防控</w:t>
                  </w:r>
                </w:p>
              </w:tc>
              <w:tc>
                <w:tcPr>
                  <w:tcW w:w="2174" w:type="pct"/>
                  <w:vAlign w:val="center"/>
                </w:tcPr>
                <w:p>
                  <w:pPr>
                    <w:pStyle w:val="35"/>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开展海上溢油及危险化学品泄漏污染近岸海域风险评估，建立溢油、化学品事故环境风险防范机制，并配备相适应的应急力量。</w:t>
                  </w:r>
                </w:p>
              </w:tc>
              <w:tc>
                <w:tcPr>
                  <w:tcW w:w="1179" w:type="pct"/>
                  <w:vAlign w:val="center"/>
                </w:tcPr>
                <w:p>
                  <w:pPr>
                    <w:pStyle w:val="35"/>
                    <w:rPr>
                      <w:rFonts w:hint="eastAsia" w:eastAsia="宋体"/>
                      <w:color w:val="auto"/>
                      <w:highlight w:val="none"/>
                      <w:lang w:val="en-US" w:eastAsia="zh-CN"/>
                    </w:rPr>
                  </w:pPr>
                  <w:r>
                    <w:rPr>
                      <w:rFonts w:hint="eastAsia"/>
                      <w:color w:val="auto"/>
                      <w:highlight w:val="none"/>
                      <w:lang w:val="en-US" w:eastAsia="zh-CN"/>
                    </w:rPr>
                    <w:t>不涉及</w:t>
                  </w:r>
                </w:p>
              </w:tc>
              <w:tc>
                <w:tcPr>
                  <w:tcW w:w="310" w:type="pct"/>
                  <w:vAlign w:val="center"/>
                </w:tcPr>
                <w:p>
                  <w:pPr>
                    <w:pStyle w:val="35"/>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5" w:type="pct"/>
                  <w:vMerge w:val="restart"/>
                  <w:vAlign w:val="center"/>
                </w:tcPr>
                <w:p>
                  <w:pPr>
                    <w:pStyle w:val="35"/>
                    <w:rPr>
                      <w:color w:val="auto"/>
                      <w:highlight w:val="none"/>
                    </w:rPr>
                  </w:pPr>
                  <w:r>
                    <w:rPr>
                      <w:rFonts w:hint="eastAsia"/>
                      <w:color w:val="auto"/>
                      <w:highlight w:val="none"/>
                      <w:lang w:val="en-US" w:eastAsia="zh-CN"/>
                    </w:rPr>
                    <w:t>宁德市海域</w:t>
                  </w:r>
                </w:p>
              </w:tc>
              <w:tc>
                <w:tcPr>
                  <w:tcW w:w="261" w:type="pct"/>
                  <w:vAlign w:val="center"/>
                </w:tcPr>
                <w:p>
                  <w:pPr>
                    <w:pStyle w:val="35"/>
                    <w:rPr>
                      <w:rFonts w:hint="eastAsia"/>
                      <w:color w:val="auto"/>
                      <w:highlight w:val="none"/>
                    </w:rPr>
                  </w:pPr>
                  <w:r>
                    <w:rPr>
                      <w:rFonts w:hint="eastAsia"/>
                      <w:color w:val="auto"/>
                      <w:highlight w:val="none"/>
                    </w:rPr>
                    <w:t>空间布局约束</w:t>
                  </w:r>
                </w:p>
              </w:tc>
              <w:tc>
                <w:tcPr>
                  <w:tcW w:w="2174" w:type="pct"/>
                  <w:vAlign w:val="center"/>
                </w:tcPr>
                <w:p>
                  <w:pPr>
                    <w:pStyle w:val="35"/>
                    <w:jc w:val="left"/>
                    <w:rPr>
                      <w:rFonts w:hint="eastAsia"/>
                      <w:color w:val="auto"/>
                      <w:highlight w:val="none"/>
                    </w:rPr>
                  </w:pPr>
                  <w:r>
                    <w:rPr>
                      <w:rFonts w:hint="eastAsia"/>
                      <w:color w:val="auto"/>
                      <w:highlight w:val="none"/>
                      <w:vertAlign w:val="baseline"/>
                      <w:lang w:val="en-US" w:eastAsia="zh-CN"/>
                    </w:rPr>
                    <w:t>1.严格落实国家围填海管控规定，除国家重大项目外，全面禁止围填海。2.强化生态保护红线区的管控，确保邻近的交通运输用海、工矿通信用海等功能区开发活动不得影响生态保护红线区的功能。生态保护红线区内，规范管控对生态功能不造成破坏的有限人为活动，禁止新增填海造地和新增围海；涉及利用无居民海岛的，原则上仅允许按照相关规定对海岛自然岸线、表面积、岛体、植被改变轻微的低影响利用方式。国家重大项目新增填海造地、新增用岛确需在生态保护红线内实施的，省级人民政府同步编制生态保护红线调整方案，调整方案随海域使用权、无居民海岛开发利用申请一并报国务院批准。3.优化大型液体散货码头的作业布局，其与官井洋大黄鱼繁殖保护区的安全距离应符合相关要求。4.严格落实养殖水域滩涂规划，防止超规划养殖反弹回潮，进一步优化海水养殖空间布局。禁养区内和规划范围外的海水养殖予以退出，限养区及养殖区控制养殖规模和密度。</w:t>
                  </w:r>
                </w:p>
              </w:tc>
              <w:tc>
                <w:tcPr>
                  <w:tcW w:w="1179" w:type="pct"/>
                  <w:vAlign w:val="center"/>
                </w:tcPr>
                <w:p>
                  <w:pPr>
                    <w:pStyle w:val="35"/>
                    <w:rPr>
                      <w:rFonts w:hint="default" w:eastAsia="宋体"/>
                      <w:color w:val="auto"/>
                      <w:highlight w:val="none"/>
                      <w:lang w:val="en-US" w:eastAsia="zh-CN"/>
                    </w:rPr>
                  </w:pPr>
                  <w:r>
                    <w:rPr>
                      <w:rFonts w:hint="eastAsia"/>
                      <w:color w:val="auto"/>
                      <w:highlight w:val="none"/>
                      <w:lang w:val="en-US" w:eastAsia="zh-CN"/>
                    </w:rPr>
                    <w:t>1.</w:t>
                  </w:r>
                  <w:r>
                    <w:rPr>
                      <w:rFonts w:hint="eastAsia" w:ascii="Times New Roman" w:hAnsi="Times New Roman" w:eastAsia="宋体" w:cs="Times New Roman"/>
                      <w:color w:val="auto"/>
                      <w:highlight w:val="none"/>
                      <w:lang w:val="en-US" w:eastAsia="zh-CN"/>
                    </w:rPr>
                    <w:t>本项目租用</w:t>
                  </w:r>
                  <w:r>
                    <w:rPr>
                      <w:rFonts w:hint="eastAsia"/>
                      <w:color w:val="auto"/>
                      <w:highlight w:val="none"/>
                    </w:rPr>
                    <w:t>宁德保税物流中心（B型）</w:t>
                  </w:r>
                  <w:r>
                    <w:rPr>
                      <w:rFonts w:hint="eastAsia"/>
                      <w:color w:val="auto"/>
                      <w:highlight w:val="none"/>
                      <w:lang w:val="en-US" w:eastAsia="zh-CN"/>
                    </w:rPr>
                    <w:t>用地</w:t>
                  </w:r>
                  <w:r>
                    <w:rPr>
                      <w:rFonts w:hint="eastAsia"/>
                      <w:color w:val="auto"/>
                      <w:highlight w:val="none"/>
                    </w:rPr>
                    <w:t>建设</w:t>
                  </w:r>
                  <w:r>
                    <w:rPr>
                      <w:rFonts w:hint="eastAsia"/>
                      <w:color w:val="auto"/>
                      <w:highlight w:val="none"/>
                      <w:lang w:eastAsia="zh-CN"/>
                    </w:rPr>
                    <w:t>，</w:t>
                  </w:r>
                  <w:r>
                    <w:rPr>
                      <w:rFonts w:hint="eastAsia"/>
                      <w:color w:val="auto"/>
                      <w:highlight w:val="none"/>
                      <w:lang w:val="en-US" w:eastAsia="zh-CN"/>
                    </w:rPr>
                    <w:t>不涉及</w:t>
                  </w:r>
                  <w:r>
                    <w:rPr>
                      <w:rFonts w:hint="eastAsia" w:ascii="Times New Roman" w:hAnsi="Times New Roman" w:eastAsia="宋体" w:cs="Times New Roman"/>
                      <w:color w:val="auto"/>
                      <w:highlight w:val="none"/>
                      <w:lang w:val="en-US" w:eastAsia="zh-CN"/>
                    </w:rPr>
                    <w:t>围填海。2.本项目租用</w:t>
                  </w:r>
                  <w:r>
                    <w:rPr>
                      <w:rFonts w:hint="eastAsia"/>
                      <w:color w:val="auto"/>
                      <w:highlight w:val="none"/>
                    </w:rPr>
                    <w:t>宁德保税物流中心（B型）</w:t>
                  </w:r>
                  <w:r>
                    <w:rPr>
                      <w:rFonts w:hint="eastAsia"/>
                      <w:color w:val="auto"/>
                      <w:highlight w:val="none"/>
                      <w:lang w:val="en-US" w:eastAsia="zh-CN"/>
                    </w:rPr>
                    <w:t>用地</w:t>
                  </w:r>
                  <w:r>
                    <w:rPr>
                      <w:rFonts w:hint="eastAsia"/>
                      <w:color w:val="auto"/>
                      <w:highlight w:val="none"/>
                    </w:rPr>
                    <w:t>建设</w:t>
                  </w:r>
                  <w:r>
                    <w:rPr>
                      <w:rFonts w:hint="eastAsia"/>
                      <w:color w:val="auto"/>
                      <w:highlight w:val="none"/>
                      <w:lang w:eastAsia="zh-CN"/>
                    </w:rPr>
                    <w:t>，</w:t>
                  </w:r>
                  <w:r>
                    <w:rPr>
                      <w:rFonts w:hint="eastAsia"/>
                      <w:color w:val="auto"/>
                      <w:highlight w:val="none"/>
                      <w:lang w:val="en-US" w:eastAsia="zh-CN"/>
                    </w:rPr>
                    <w:t>进行简单物理混配，不</w:t>
                  </w:r>
                  <w:r>
                    <w:rPr>
                      <w:rFonts w:hint="eastAsia"/>
                      <w:color w:val="auto"/>
                      <w:highlight w:val="none"/>
                      <w:vertAlign w:val="baseline"/>
                      <w:lang w:val="en-US" w:eastAsia="zh-CN"/>
                    </w:rPr>
                    <w:t>影响周边生态保护红线区的功能。3.不涉及；4.不涉及。</w:t>
                  </w:r>
                </w:p>
              </w:tc>
              <w:tc>
                <w:tcPr>
                  <w:tcW w:w="310" w:type="pct"/>
                  <w:vAlign w:val="center"/>
                </w:tcPr>
                <w:p>
                  <w:pPr>
                    <w:pStyle w:val="35"/>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rFonts w:hint="eastAsia"/>
                      <w:color w:val="auto"/>
                      <w:highlight w:val="none"/>
                    </w:rPr>
                  </w:pPr>
                  <w:r>
                    <w:rPr>
                      <w:rFonts w:hint="eastAsia"/>
                      <w:color w:val="auto"/>
                      <w:highlight w:val="none"/>
                    </w:rPr>
                    <w:t>污染物排放管控</w:t>
                  </w:r>
                </w:p>
              </w:tc>
              <w:tc>
                <w:tcPr>
                  <w:tcW w:w="2174" w:type="pct"/>
                  <w:vAlign w:val="center"/>
                </w:tcPr>
                <w:p>
                  <w:pPr>
                    <w:pStyle w:val="35"/>
                    <w:jc w:val="left"/>
                    <w:rPr>
                      <w:rFonts w:hint="eastAsia"/>
                      <w:color w:val="auto"/>
                      <w:highlight w:val="none"/>
                    </w:rPr>
                  </w:pPr>
                  <w:r>
                    <w:rPr>
                      <w:rFonts w:hint="eastAsia"/>
                      <w:color w:val="auto"/>
                      <w:highlight w:val="none"/>
                      <w:vertAlign w:val="baseline"/>
                      <w:lang w:val="en-US" w:eastAsia="zh-CN"/>
                    </w:rPr>
                    <w:t>1.实行三沙湾主要污染物入海总量控制，控制交溪、霍童溪入海断面水质，削减交溪总氮入海总量及霍童溪氮磷入海总量，重点开展沙埕港内湾及三沙湾内的白马港、盐田港、漳湾、铁基湾、官井洋、东吾洋等海域劣四类水质综合整治。2.全面完成各类入海排污口排查、监测和溯源，系统推进入海排污口分类整治。规范三沙湾排污口设置，统筹设置湾内排污口，适时实施湾外深海排放。3.完善城镇及工业集中区污水处理设施及配套管网建设，强化达标排放监管，提升沿海农村生活污水收集处理率。近岸海域汇水区域内县级及以上城镇污水处理设施执行不低于一级A排放标准。4.三沙湾、沙埕港强化违法违规养殖反弹回潮的管控。实行湾内养殖总量控制，优化养殖结构及品种，严控投饵型鱼类网箱养殖比例，实行生态养殖。推进传统养殖设施的升级改造，推广环保型全塑胶鱼排和深水抗风浪网箱。实施海水养殖排污口排查整治，推进分类治理及规范化设置，推进标准化池塘改造和工厂化循环水养殖基地建设，推进规模以上养殖主体尾水综合治理达标排放，鼓励循环回用。5.提升海上环卫队伍专业化水平，强化海陆环卫无缝衔接，完善海漂垃圾收集处置设施建设，实现海滩海面常态化清理保洁，强化渔业垃圾等管控，强化重点旅游岸段及三沙湾、沙埕港等重点岸段的监视监控，定期开展专项整治行动。6.强化陆海污染联防联控，推动“蓝色海湾”整治项目、海岸带生态保护修复工程等重大工程建设，推进沿海岸线自然化和生态保护修复。7.巩固深化沙埕港、三沙湾等重点海湾综合治理，持续改善近岸海域生态环境质量。8.加强陆海统筹和区域协同，深化交溪、霍童溪主要入海河流及钱塘溪、店下溪等入海小流域综合治理；因地制宜加强总氮排放控制，实施入海河流总氮削减工程。9.推进省级及以上工业园区完成污水零直排建设，建设一批“污水零直排”示范园区。加快推进福鼎、福安等重点海域临海工业园区尾水深水排放改造。10.持续推进宁德市美丽海湾保护与建设，到2025年，福鼎市东部岸段、霞浦县东冲半岛东部岸段基本建成美丽海湾。</w:t>
                  </w:r>
                </w:p>
              </w:tc>
              <w:tc>
                <w:tcPr>
                  <w:tcW w:w="1179" w:type="pct"/>
                  <w:vAlign w:val="center"/>
                </w:tcPr>
                <w:p>
                  <w:pPr>
                    <w:pStyle w:val="35"/>
                    <w:rPr>
                      <w:rFonts w:hint="default" w:eastAsia="宋体"/>
                      <w:color w:val="auto"/>
                      <w:highlight w:val="none"/>
                      <w:lang w:val="en-US" w:eastAsia="zh-CN"/>
                    </w:rPr>
                  </w:pPr>
                  <w:r>
                    <w:rPr>
                      <w:rFonts w:hint="eastAsia"/>
                      <w:color w:val="auto"/>
                      <w:highlight w:val="none"/>
                      <w:lang w:val="en-US" w:eastAsia="zh-CN"/>
                    </w:rPr>
                    <w:t>1.本项目仅排放生活污水，不影响</w:t>
                  </w:r>
                  <w:r>
                    <w:rPr>
                      <w:rFonts w:hint="eastAsia"/>
                      <w:color w:val="auto"/>
                      <w:highlight w:val="none"/>
                      <w:vertAlign w:val="baseline"/>
                      <w:lang w:val="en-US" w:eastAsia="zh-CN"/>
                    </w:rPr>
                    <w:t>三沙湾水质；2.不涉及；3.</w:t>
                  </w: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r>
                    <w:rPr>
                      <w:rFonts w:hint="eastAsia"/>
                      <w:color w:val="auto"/>
                      <w:spacing w:val="-4"/>
                      <w:highlight w:val="none"/>
                    </w:rPr>
                    <w:t>，漳湾临港工业区临时一体化污水处理厂尾水执行</w:t>
                  </w:r>
                  <w:r>
                    <w:rPr>
                      <w:rFonts w:hint="eastAsia"/>
                      <w:color w:val="auto"/>
                      <w:highlight w:val="none"/>
                    </w:rPr>
                    <w:t>一级A排放标准</w:t>
                  </w:r>
                  <w:r>
                    <w:rPr>
                      <w:rFonts w:hint="eastAsia"/>
                      <w:color w:val="auto"/>
                      <w:highlight w:val="none"/>
                      <w:vertAlign w:val="baseline"/>
                      <w:lang w:val="en-US" w:eastAsia="zh-CN"/>
                    </w:rPr>
                    <w:t>；4.不涉及；5.不涉及；6.不涉及；7.不涉及；8.不涉及；9.不涉及；10.不涉及。</w:t>
                  </w:r>
                </w:p>
              </w:tc>
              <w:tc>
                <w:tcPr>
                  <w:tcW w:w="310" w:type="pct"/>
                  <w:vAlign w:val="center"/>
                </w:tcPr>
                <w:p>
                  <w:pPr>
                    <w:pStyle w:val="35"/>
                    <w:rPr>
                      <w:rFonts w:hint="eastAsia" w:eastAsia="宋体"/>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6" w:hRule="atLeast"/>
                <w:jc w:val="center"/>
              </w:trPr>
              <w:tc>
                <w:tcPr>
                  <w:tcW w:w="1075" w:type="pct"/>
                  <w:vMerge w:val="restart"/>
                  <w:vAlign w:val="center"/>
                </w:tcPr>
                <w:p>
                  <w:pPr>
                    <w:pStyle w:val="35"/>
                    <w:rPr>
                      <w:rFonts w:hint="default" w:eastAsia="宋体"/>
                      <w:color w:val="auto"/>
                      <w:highlight w:val="none"/>
                      <w:lang w:val="en-US" w:eastAsia="zh-CN"/>
                    </w:rPr>
                  </w:pPr>
                  <w:r>
                    <w:rPr>
                      <w:rFonts w:hint="eastAsia"/>
                      <w:color w:val="auto"/>
                      <w:highlight w:val="none"/>
                      <w:lang w:val="en-US" w:eastAsia="zh-CN"/>
                    </w:rPr>
                    <w:t>全省海域</w:t>
                  </w:r>
                </w:p>
              </w:tc>
              <w:tc>
                <w:tcPr>
                  <w:tcW w:w="427" w:type="dxa"/>
                  <w:vAlign w:val="center"/>
                </w:tcPr>
                <w:p>
                  <w:pPr>
                    <w:pStyle w:val="35"/>
                    <w:rPr>
                      <w:rFonts w:hint="eastAsia"/>
                      <w:color w:val="auto"/>
                      <w:highlight w:val="none"/>
                    </w:rPr>
                  </w:pPr>
                  <w:r>
                    <w:rPr>
                      <w:rFonts w:hint="eastAsia"/>
                      <w:color w:val="auto"/>
                      <w:highlight w:val="none"/>
                    </w:rPr>
                    <w:t>空间布局约束</w:t>
                  </w:r>
                </w:p>
              </w:tc>
              <w:tc>
                <w:tcPr>
                  <w:tcW w:w="2174" w:type="pct"/>
                  <w:vAlign w:val="center"/>
                </w:tcPr>
                <w:p>
                  <w:pPr>
                    <w:rPr>
                      <w:rFonts w:hint="eastAsia"/>
                      <w:color w:val="auto"/>
                      <w:highlight w:val="none"/>
                      <w:vertAlign w:val="baseline"/>
                      <w:lang w:val="en-US" w:eastAsia="zh-CN"/>
                    </w:rPr>
                  </w:pPr>
                  <w:r>
                    <w:rPr>
                      <w:rFonts w:hint="eastAsia"/>
                      <w:color w:val="auto"/>
                      <w:highlight w:val="none"/>
                      <w:vertAlign w:val="baseline"/>
                      <w:lang w:val="en-US" w:eastAsia="zh-CN"/>
                    </w:rPr>
                    <w:t>1.对环保和生产要素具有较高要求的石化、汽车、船舶、冶金、水泥、制浆造纸、印染等重点产业，要符合全省规划布局要求。2.闽江、九龙江、敖江、晋江、龙江、木兰溪及交溪等入海河流沿岸，严格限制环境风险较大的项目。3.优化海水养殖布局、结构和方式，控制养殖规模和密度，整治禁养区违法养殖和限养区不符合规定的养殖设施。</w:t>
                  </w:r>
                </w:p>
              </w:tc>
              <w:tc>
                <w:tcPr>
                  <w:tcW w:w="1179" w:type="pct"/>
                  <w:vAlign w:val="center"/>
                </w:tcPr>
                <w:p>
                  <w:pPr>
                    <w:pStyle w:val="35"/>
                    <w:rPr>
                      <w:rFonts w:hint="default"/>
                      <w:color w:val="auto"/>
                      <w:highlight w:val="none"/>
                      <w:lang w:val="en-US" w:eastAsia="zh-CN"/>
                    </w:rPr>
                  </w:pPr>
                  <w:r>
                    <w:rPr>
                      <w:rFonts w:hint="eastAsia"/>
                      <w:color w:val="auto"/>
                      <w:highlight w:val="none"/>
                      <w:lang w:val="en-US" w:eastAsia="zh-CN"/>
                    </w:rPr>
                    <w:t>1.本项目不属于</w:t>
                  </w:r>
                  <w:r>
                    <w:rPr>
                      <w:rFonts w:hint="eastAsia"/>
                      <w:color w:val="auto"/>
                      <w:highlight w:val="none"/>
                      <w:vertAlign w:val="baseline"/>
                      <w:lang w:val="en-US" w:eastAsia="zh-CN"/>
                    </w:rPr>
                    <w:t>石化、汽车、船舶、冶金、水泥、制浆造纸、印染等重点产业；2.本项目风险较小；3.不涉及。</w:t>
                  </w:r>
                </w:p>
              </w:tc>
              <w:tc>
                <w:tcPr>
                  <w:tcW w:w="310" w:type="pct"/>
                  <w:vAlign w:val="center"/>
                </w:tcPr>
                <w:p>
                  <w:pPr>
                    <w:pStyle w:val="35"/>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rFonts w:hint="eastAsia"/>
                      <w:color w:val="auto"/>
                      <w:highlight w:val="none"/>
                      <w:lang w:val="en-US" w:eastAsia="zh-CN"/>
                    </w:rPr>
                  </w:pPr>
                </w:p>
              </w:tc>
              <w:tc>
                <w:tcPr>
                  <w:tcW w:w="427" w:type="dxa"/>
                  <w:vAlign w:val="center"/>
                </w:tcPr>
                <w:p>
                  <w:pPr>
                    <w:pStyle w:val="35"/>
                    <w:rPr>
                      <w:rFonts w:hint="eastAsia"/>
                      <w:color w:val="auto"/>
                      <w:highlight w:val="none"/>
                    </w:rPr>
                  </w:pPr>
                  <w:r>
                    <w:rPr>
                      <w:rFonts w:hint="eastAsia"/>
                      <w:color w:val="auto"/>
                      <w:highlight w:val="none"/>
                    </w:rPr>
                    <w:t>污染物排放管控</w:t>
                  </w:r>
                </w:p>
              </w:tc>
              <w:tc>
                <w:tcPr>
                  <w:tcW w:w="2174" w:type="pct"/>
                  <w:vAlign w:val="center"/>
                </w:tcPr>
                <w:p>
                  <w:pPr>
                    <w:pStyle w:val="35"/>
                    <w:jc w:val="left"/>
                    <w:rPr>
                      <w:rFonts w:hint="eastAsia"/>
                      <w:color w:val="auto"/>
                      <w:highlight w:val="none"/>
                      <w:vertAlign w:val="baseline"/>
                      <w:lang w:val="en-US" w:eastAsia="zh-CN"/>
                    </w:rPr>
                  </w:pPr>
                  <w:r>
                    <w:rPr>
                      <w:rFonts w:hint="eastAsia"/>
                      <w:color w:val="auto"/>
                      <w:highlight w:val="none"/>
                      <w:vertAlign w:val="baseline"/>
                      <w:lang w:val="en-US" w:eastAsia="zh-CN"/>
                    </w:rPr>
                    <w:t>1.三沙湾、罗源湾、闽江口、兴化湾、泉州湾、厦门湾、东山湾、诏安湾8个重点海湾实行主要污染物入海总量控制。对水交换能力不足、水质长期劣四类或明显下降的重点海湾，强化氮磷入海控制，湾内新(改、扩建)建设项目氨磷排放总量置换应符合《福建省“十四五”生态环境保护专项规划》（闽政办〔2021〕59号）要求。2.对交溪、霍童溪、闽江、萩芦溪、木兰溪、晋江、九龙江及漳江8条主要入海河流入海断面强化水质控制，削减氮磷入海总量。重点整治污染较重的入海小流域，全面消除劣V类，实施入海河流总氮削减工程，实现总氮浓度与2020相比保持负增长。3.强化沿海石化、钢铁、印染、造纸等重污染行业整治，推动企业入园集聚发展，提升工业集聚区废水治理水平。新建、升级工业聚集区应同步规划、建设污水集中处理设施或利用现有的污水集中处理设施，污水处理设施应具备脱氮除磷工艺，并安装自动在线监控装置。加快福鼎、福安、晋江、南安、云霄等重点海域临海工业园区开展尾水深海排放改造。4.优化养殖结构和品种，科学确定养殖规模和密度，严控投饵型鱼类网箱养殖比例，推广生态养殖。推进池塘养殖标准化改造、海上养殖转型升级，加强养殖环境污染治理与监管，工厂化养殖和设置统一排污口的集中连片规模以上水产养殖主体实现尾水达标排放或循环回用。禁止在氮磷浓度严重超标的近岸海域新增或者扩大投饵、投肥海水养殖规模。</w:t>
                  </w:r>
                </w:p>
              </w:tc>
              <w:tc>
                <w:tcPr>
                  <w:tcW w:w="1179" w:type="pct"/>
                  <w:vAlign w:val="center"/>
                </w:tcPr>
                <w:p>
                  <w:pPr>
                    <w:pStyle w:val="35"/>
                    <w:rPr>
                      <w:rFonts w:hint="default"/>
                      <w:color w:val="auto"/>
                      <w:highlight w:val="none"/>
                      <w:lang w:val="en-US" w:eastAsia="zh-CN"/>
                    </w:rPr>
                  </w:pPr>
                  <w:r>
                    <w:rPr>
                      <w:rFonts w:hint="eastAsia"/>
                      <w:color w:val="auto"/>
                      <w:highlight w:val="none"/>
                      <w:lang w:val="en-US" w:eastAsia="zh-CN"/>
                    </w:rPr>
                    <w:t>1.本项目仅排放生活污水，不涉及总量置换；2.不涉及；3.本项目不涉及</w:t>
                  </w:r>
                  <w:r>
                    <w:rPr>
                      <w:rFonts w:hint="eastAsia"/>
                      <w:color w:val="auto"/>
                      <w:highlight w:val="none"/>
                      <w:vertAlign w:val="baseline"/>
                      <w:lang w:val="en-US" w:eastAsia="zh-CN"/>
                    </w:rPr>
                    <w:t>石化、钢铁、印染、造纸等重污染行业；4.本项目不涉及养殖。</w:t>
                  </w:r>
                </w:p>
              </w:tc>
              <w:tc>
                <w:tcPr>
                  <w:tcW w:w="310" w:type="pct"/>
                  <w:vAlign w:val="center"/>
                </w:tcPr>
                <w:p>
                  <w:pPr>
                    <w:pStyle w:val="35"/>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427" w:type="dxa"/>
                  <w:vAlign w:val="center"/>
                </w:tcPr>
                <w:p>
                  <w:pPr>
                    <w:pStyle w:val="35"/>
                    <w:rPr>
                      <w:rFonts w:hint="eastAsia"/>
                      <w:color w:val="auto"/>
                      <w:highlight w:val="none"/>
                    </w:rPr>
                  </w:pPr>
                  <w:r>
                    <w:rPr>
                      <w:rFonts w:hint="eastAsia"/>
                      <w:color w:val="auto"/>
                      <w:highlight w:val="none"/>
                    </w:rPr>
                    <w:t>环境风险防控</w:t>
                  </w:r>
                </w:p>
              </w:tc>
              <w:tc>
                <w:tcPr>
                  <w:tcW w:w="2174" w:type="pct"/>
                  <w:vAlign w:val="center"/>
                </w:tcPr>
                <w:p>
                  <w:pPr>
                    <w:pStyle w:val="35"/>
                    <w:jc w:val="left"/>
                    <w:rPr>
                      <w:rFonts w:hint="eastAsia"/>
                      <w:color w:val="auto"/>
                      <w:highlight w:val="none"/>
                      <w:vertAlign w:val="baseline"/>
                      <w:lang w:val="en-US" w:eastAsia="zh-CN"/>
                    </w:rPr>
                  </w:pPr>
                  <w:r>
                    <w:rPr>
                      <w:rFonts w:hint="eastAsia"/>
                      <w:color w:val="auto"/>
                      <w:highlight w:val="none"/>
                      <w:vertAlign w:val="baseline"/>
                      <w:lang w:val="en-US" w:eastAsia="zh-CN"/>
                    </w:rPr>
                    <w:t>1.强化沿海工业区和沿海石化、化工、冶炼、石油及危化品储运等企业的环境风险防控。2.建立港口船舶污染事故应急体系，加强港口船舶及其作业活动污染水环境的应急能力建设，提升船舶及港口码头污染事故应急处置能力，完成港口船舶突发环境事件应急预案修编和备案。3.建立和完善海上溢油及危险化学品泄漏等环境风险防范体系，健全应急响应机制、应急处置协作机制和区域风险联防联控机制。4.推进海洋环境风险排查整治，建立完善涉海风险源清单和管理台账，完善应急物资设备储备及保障体系。</w:t>
                  </w:r>
                </w:p>
              </w:tc>
              <w:tc>
                <w:tcPr>
                  <w:tcW w:w="1179" w:type="pct"/>
                  <w:vAlign w:val="center"/>
                </w:tcPr>
                <w:p>
                  <w:pPr>
                    <w:pStyle w:val="35"/>
                    <w:rPr>
                      <w:rFonts w:hint="default"/>
                      <w:color w:val="auto"/>
                      <w:highlight w:val="none"/>
                      <w:lang w:val="en-US" w:eastAsia="zh-CN"/>
                    </w:rPr>
                  </w:pPr>
                  <w:r>
                    <w:rPr>
                      <w:rFonts w:hint="eastAsia"/>
                      <w:color w:val="auto"/>
                      <w:highlight w:val="none"/>
                      <w:lang w:val="en-US" w:eastAsia="zh-CN"/>
                    </w:rPr>
                    <w:t>1.本项目不属于石化、化工、冶炼、石油及危化品储运等；2.本项目不涉及；3.本项目不涉及；4.本项目不涉及。</w:t>
                  </w:r>
                </w:p>
              </w:tc>
              <w:tc>
                <w:tcPr>
                  <w:tcW w:w="310" w:type="pct"/>
                  <w:vAlign w:val="center"/>
                </w:tcPr>
                <w:p>
                  <w:pPr>
                    <w:pStyle w:val="35"/>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restart"/>
                  <w:vAlign w:val="center"/>
                </w:tcPr>
                <w:p>
                  <w:pPr>
                    <w:pStyle w:val="35"/>
                    <w:rPr>
                      <w:color w:val="auto"/>
                      <w:highlight w:val="none"/>
                    </w:rPr>
                  </w:pPr>
                  <w:r>
                    <w:rPr>
                      <w:rFonts w:hint="eastAsia"/>
                      <w:color w:val="auto"/>
                      <w:highlight w:val="none"/>
                    </w:rPr>
                    <w:t>宁德市陆域</w:t>
                  </w:r>
                </w:p>
              </w:tc>
              <w:tc>
                <w:tcPr>
                  <w:tcW w:w="261" w:type="pct"/>
                  <w:vAlign w:val="center"/>
                </w:tcPr>
                <w:p>
                  <w:pPr>
                    <w:pStyle w:val="35"/>
                    <w:rPr>
                      <w:color w:val="auto"/>
                      <w:highlight w:val="none"/>
                    </w:rPr>
                  </w:pPr>
                  <w:r>
                    <w:rPr>
                      <w:rFonts w:hint="eastAsia"/>
                      <w:color w:val="auto"/>
                      <w:highlight w:val="none"/>
                    </w:rPr>
                    <w:t>空间布局约束</w:t>
                  </w:r>
                </w:p>
              </w:tc>
              <w:tc>
                <w:tcPr>
                  <w:tcW w:w="2174" w:type="pct"/>
                  <w:vAlign w:val="center"/>
                </w:tcPr>
                <w:p>
                  <w:pPr>
                    <w:pStyle w:val="35"/>
                    <w:rPr>
                      <w:color w:val="auto"/>
                      <w:highlight w:val="none"/>
                    </w:rPr>
                  </w:pPr>
                  <w:r>
                    <w:rPr>
                      <w:rFonts w:hint="eastAsia"/>
                      <w:color w:val="auto"/>
                      <w:highlight w:val="none"/>
                    </w:rPr>
                    <w:t>三、其它要求1.新建、扩建的涉及重点重金属污染物的有色金属冶炼、电镀、制革、石化、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2.禁止在流域上游新建、扩建重污染企业和项目。3.禁止在流域水环境质量不能稳定达标的区域内，建设新增相应不达标污染物指标排放量的工业项目；禁止新建、扩建以发电为主的水电站。4.禁止在通风廊道和主导风向的上风向布局大气重污染企业，推进建成区大气重污染企业搬迁或升级改造、环境风险企业搬迁或关闭退出。5.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1179" w:type="pct"/>
                  <w:vAlign w:val="center"/>
                </w:tcPr>
                <w:p>
                  <w:pPr>
                    <w:pStyle w:val="35"/>
                    <w:rPr>
                      <w:color w:val="auto"/>
                      <w:highlight w:val="none"/>
                    </w:rPr>
                  </w:pPr>
                  <w:r>
                    <w:rPr>
                      <w:rFonts w:hint="eastAsia"/>
                      <w:color w:val="auto"/>
                      <w:highlight w:val="none"/>
                    </w:rPr>
                    <w:t>1.本项目不属于涉及重点重金属污染物的有色金属冶炼、电镀、制革、石化、铅蓄电池制造企业，不涉及电镀；2.项目不属于重污染项目；3.三都澳海域水质符合《海水水质标准》（GB3097-1997）三类标准；4.项目不属于大气重污染企业；5.项目租用保税物流中心（B型）</w:t>
                  </w:r>
                  <w:r>
                    <w:rPr>
                      <w:rFonts w:hint="eastAsia"/>
                      <w:color w:val="auto"/>
                      <w:highlight w:val="none"/>
                      <w:lang w:val="en-US" w:eastAsia="zh-CN"/>
                    </w:rPr>
                    <w:t>用地进行建设</w:t>
                  </w:r>
                  <w:r>
                    <w:rPr>
                      <w:rFonts w:hint="eastAsia"/>
                      <w:color w:val="auto"/>
                      <w:highlight w:val="none"/>
                    </w:rPr>
                    <w:t>，不涉及永久基本农田。</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污染物排放管控</w:t>
                  </w:r>
                </w:p>
              </w:tc>
              <w:tc>
                <w:tcPr>
                  <w:tcW w:w="2174" w:type="pct"/>
                  <w:vAlign w:val="center"/>
                </w:tcPr>
                <w:p>
                  <w:pPr>
                    <w:rPr>
                      <w:color w:val="auto"/>
                      <w:highlight w:val="none"/>
                    </w:rPr>
                  </w:pPr>
                  <w:r>
                    <w:rPr>
                      <w:rFonts w:hint="eastAsia"/>
                      <w:color w:val="auto"/>
                      <w:highlight w:val="none"/>
                    </w:rPr>
                    <w:t>1.新建有色项目应执行大气污染物特别排放限值。2.新建（含搬迁）钢铁项目应达到超低排放水平，大气污染物有组织排放、无组织排放以及运输过程应满足“环大气〔2019〕35号”有关指标和措施要求。现有钢铁企业应按照“闽环保大气〔2019〕7号”进度要求分步推进超低排放改造。3.新、改、扩建重点行业建设项目要遵循重点重金属污染物排放“等量替代”原则，总量来源原则上应是同一重点行业内的削减量，当同一重点行业无法满足时可从其他重点行业调剂。4.水泥行业新项目严格对照超低排放、能效标杆水平建设实施；现有项目超低排放改造应按文件（闽环规〔2023〕2号）的时限要求分步推进，2025年底前全面完成。5.以印染、皮革、农药、医药、涂料等行业为重点，推进有毒有害化学物质替代。化工园区新建项目实施“禁限控”化学物质管控措施，项目在开展环境影响评价时应严格落实相关要求，严格涉新污染物建设项目源头防控和准入管理。</w:t>
                  </w:r>
                </w:p>
              </w:tc>
              <w:tc>
                <w:tcPr>
                  <w:tcW w:w="1179" w:type="pct"/>
                  <w:vAlign w:val="center"/>
                </w:tcPr>
                <w:p>
                  <w:pPr>
                    <w:pStyle w:val="35"/>
                    <w:rPr>
                      <w:color w:val="auto"/>
                      <w:highlight w:val="none"/>
                    </w:rPr>
                  </w:pPr>
                  <w:r>
                    <w:rPr>
                      <w:rFonts w:hint="eastAsia"/>
                      <w:color w:val="auto"/>
                      <w:highlight w:val="none"/>
                    </w:rPr>
                    <w:t>本项目不属于有色、钢铁、水泥、印染、皮革、农药、医药、涂料等重点行业。</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资源开发效率要求</w:t>
                  </w:r>
                </w:p>
              </w:tc>
              <w:tc>
                <w:tcPr>
                  <w:tcW w:w="2174" w:type="pct"/>
                  <w:vAlign w:val="center"/>
                </w:tcPr>
                <w:p>
                  <w:pPr>
                    <w:pStyle w:val="35"/>
                    <w:rPr>
                      <w:color w:val="auto"/>
                      <w:highlight w:val="none"/>
                    </w:rPr>
                  </w:pPr>
                  <w:r>
                    <w:rPr>
                      <w:rFonts w:hint="eastAsia"/>
                      <w:color w:val="auto"/>
                      <w:highlight w:val="none"/>
                    </w:rPr>
                    <w:t>到2024年底，全市范围内每小时10蒸吨及以下燃煤锅炉全面淘汰（其中蕉城区、福鼎市、福安市要求在2023底前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全市不再新上每小时35蒸吨以下燃煤锅炉，以及每小时10蒸吨及以下燃生物质和其他使用高污染燃料的锅炉；集中供热管网覆盖范围内禁止新建、扩建分散燃煤、燃油等供热锅炉。</w:t>
                  </w:r>
                </w:p>
              </w:tc>
              <w:tc>
                <w:tcPr>
                  <w:tcW w:w="1179" w:type="pct"/>
                  <w:vAlign w:val="center"/>
                </w:tcPr>
                <w:p>
                  <w:pPr>
                    <w:pStyle w:val="35"/>
                    <w:rPr>
                      <w:color w:val="auto"/>
                      <w:highlight w:val="none"/>
                    </w:rPr>
                  </w:pPr>
                  <w:r>
                    <w:rPr>
                      <w:rFonts w:hint="eastAsia"/>
                      <w:color w:val="auto"/>
                      <w:highlight w:val="none"/>
                    </w:rPr>
                    <w:t>本项目不使用锅炉。</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restart"/>
                  <w:vAlign w:val="center"/>
                </w:tcPr>
                <w:p>
                  <w:pPr>
                    <w:pStyle w:val="35"/>
                    <w:rPr>
                      <w:color w:val="auto"/>
                      <w:highlight w:val="none"/>
                    </w:rPr>
                  </w:pPr>
                  <w:r>
                    <w:rPr>
                      <w:rFonts w:hint="eastAsia"/>
                      <w:color w:val="auto"/>
                      <w:highlight w:val="none"/>
                    </w:rPr>
                    <w:t>全省陆域</w:t>
                  </w:r>
                </w:p>
              </w:tc>
              <w:tc>
                <w:tcPr>
                  <w:tcW w:w="261" w:type="pct"/>
                  <w:vAlign w:val="center"/>
                </w:tcPr>
                <w:p>
                  <w:pPr>
                    <w:pStyle w:val="35"/>
                    <w:rPr>
                      <w:color w:val="auto"/>
                      <w:highlight w:val="none"/>
                    </w:rPr>
                  </w:pPr>
                  <w:r>
                    <w:rPr>
                      <w:rFonts w:hint="eastAsia"/>
                      <w:color w:val="auto"/>
                      <w:highlight w:val="none"/>
                    </w:rPr>
                    <w:t>空间布局约束</w:t>
                  </w:r>
                </w:p>
              </w:tc>
              <w:tc>
                <w:tcPr>
                  <w:tcW w:w="2174" w:type="pct"/>
                  <w:vAlign w:val="center"/>
                </w:tcPr>
                <w:p>
                  <w:pPr>
                    <w:rPr>
                      <w:color w:val="auto"/>
                      <w:highlight w:val="none"/>
                    </w:rPr>
                  </w:pPr>
                  <w:r>
                    <w:rPr>
                      <w:rFonts w:hint="eastAsia"/>
                      <w:color w:val="auto"/>
                      <w:highlight w:val="none"/>
                    </w:rPr>
                    <w:t>1.石化、汽车、船舶、冶金、水泥、制浆造纸、印染等重点产业，要符合全省规划布局要求。2.严控钢铁、水泥、平板玻璃等产能过剩行业新增产能，新增产能应实施产能等量或减量置换。3.除列入国家规划的大型煤电和符合相关要求的等容量替代项目，以及以供热为主的热电联产项目外，原则上不再建设新的煤电项目。4.氟化工产业应集中布局在《关于促进我省氟化工产业绿色高效发展的若干意见》中确定的园区，在上述园区之外不再新建氟化工项目，园区之外现有氟化工项目不再扩大规模。5.禁止在水环境质量不能稳定达标的区域内，建设新增相应不达标污染物指标排放量的工业项目。6.禁止在通风廊道和主导风向的上风向布局大气重污染企业，推进建成区大气重污染企业搬迁或升级改造、环境风险企业搬迁或关闭退出。7.新建、扩建的涉及重点重金属污染物的有色金属冶炼、电镀、制革、铅蓄电池制造企业布局应符合《福建省进一步加强重金属污染防控实施方案》（闽环保固体〔2022〕17号）要求。禁止低端落后产能向闽江中上游地区、九龙江北溪江东北引桥闸以上、西溪桥闸以上流域、晋江流域上游转移。禁止新建用汞的电石法（聚）氯乙烯生产工艺。</w:t>
                  </w:r>
                </w:p>
              </w:tc>
              <w:tc>
                <w:tcPr>
                  <w:tcW w:w="1179" w:type="pct"/>
                  <w:vAlign w:val="center"/>
                </w:tcPr>
                <w:p>
                  <w:pPr>
                    <w:pStyle w:val="35"/>
                    <w:rPr>
                      <w:color w:val="auto"/>
                      <w:highlight w:val="none"/>
                    </w:rPr>
                  </w:pPr>
                  <w:r>
                    <w:rPr>
                      <w:rFonts w:hint="eastAsia"/>
                      <w:color w:val="auto"/>
                      <w:highlight w:val="none"/>
                    </w:rPr>
                    <w:t>1.本项目不属于石化、汽车、船舶、冶金、水泥、制浆造纸、印染等重点产业；2.本项目不属于钢铁、水泥、平板玻璃等产能过剩行业；3.本项目不属于煤电项目；4.本项目不属于氟化工；5.三都澳海域水质符合《海水水质标准》（GB3097-1997）三类标准；6.项目不属于大气重污染企业；7.本项目不属于涉及重点重金属污染物的有色金属冶炼、电镀、制革、铅蓄电池制造企业。</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污染物排放管控</w:t>
                  </w:r>
                </w:p>
              </w:tc>
              <w:tc>
                <w:tcPr>
                  <w:tcW w:w="2174" w:type="pct"/>
                  <w:vAlign w:val="center"/>
                </w:tcPr>
                <w:p>
                  <w:pPr>
                    <w:pStyle w:val="35"/>
                    <w:rPr>
                      <w:color w:val="auto"/>
                      <w:highlight w:val="none"/>
                    </w:rPr>
                  </w:pPr>
                  <w:r>
                    <w:rPr>
                      <w:rFonts w:hint="eastAsia"/>
                      <w:color w:val="auto"/>
                      <w:highlight w:val="none"/>
                    </w:rPr>
                    <w:t>1.建设项目新增的主要污染物（含VOCs）排放量应按要求实行等量或倍量替代。重点行业建设项目新增的主要污染物排放量应同时满足《关于加强重点行业建设项目区域削减措施监督管理的通知》（环办环评〔2020〕36号）的要求。涉及新增总磷排放的建设项目应符合相关削减替代要求。新、改、扩建重点行业建设项目要符合“闽环保固体〔2022〕17号”文件要求2.新改扩建钢铁、火电项目应执行超低排放限值，有色项目应当执行大气污染物特别排放限值。水泥行业新项目严格对照超低排放、能效标杆水平建设实施，现有项目超低排放改造应按“闽环规〔2023〕2号”文件的时限要求分步推进，2025年底前全面完成。3.近岸海域汇水区域、“六江两溪”流域以及排入湖泊、水库等封闭、半封闭水域的城镇污水处理设施执行不低于一级A排放标准。到2025年，省级及以上各类开发区、工业园区完成“污水零直排区”建设，混合处理工业污水和生活污水的污水处理厂达到一级A排放标准。4.优化调整货物运输方式，提升铁路货运比例，推进钢铁、电力、电解铝、焦化等重点工业企业和工业园区货物由公路运输转向货轮运输。5.加强石化、涂料、纺织印染、橡胶、医药等行业新污染物环境风险管控。</w:t>
                  </w:r>
                </w:p>
              </w:tc>
              <w:tc>
                <w:tcPr>
                  <w:tcW w:w="1179" w:type="pct"/>
                  <w:vAlign w:val="center"/>
                </w:tcPr>
                <w:p>
                  <w:pPr>
                    <w:pStyle w:val="35"/>
                    <w:rPr>
                      <w:color w:val="auto"/>
                      <w:highlight w:val="none"/>
                    </w:rPr>
                  </w:pPr>
                  <w:r>
                    <w:rPr>
                      <w:rFonts w:hint="eastAsia"/>
                      <w:color w:val="auto"/>
                      <w:highlight w:val="none"/>
                    </w:rPr>
                    <w:t>1.项目仅排放生活污水，不属于重点行业；2.项目不属于钢铁、火电、有色项目；3.</w:t>
                  </w: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r>
                    <w:rPr>
                      <w:rFonts w:hint="eastAsia"/>
                      <w:color w:val="auto"/>
                      <w:spacing w:val="-4"/>
                      <w:highlight w:val="none"/>
                    </w:rPr>
                    <w:t>，漳湾临港工业区临时一体化污水处理厂尾水执行</w:t>
                  </w:r>
                  <w:r>
                    <w:rPr>
                      <w:rFonts w:hint="eastAsia"/>
                      <w:color w:val="auto"/>
                      <w:highlight w:val="none"/>
                    </w:rPr>
                    <w:t>一级A排放标准。4.不涉及；5.不涉及。</w:t>
                  </w:r>
                </w:p>
              </w:tc>
              <w:tc>
                <w:tcPr>
                  <w:tcW w:w="310" w:type="pct"/>
                  <w:vAlign w:val="center"/>
                </w:tcPr>
                <w:p>
                  <w:pPr>
                    <w:pStyle w:val="35"/>
                    <w:rPr>
                      <w:color w:val="auto"/>
                      <w:highlight w:val="none"/>
                    </w:rPr>
                  </w:pPr>
                  <w:r>
                    <w:rPr>
                      <w:rFonts w:hint="eastAsia"/>
                      <w:color w:val="auto"/>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5" w:type="pct"/>
                  <w:vMerge w:val="continue"/>
                  <w:vAlign w:val="center"/>
                </w:tcPr>
                <w:p>
                  <w:pPr>
                    <w:pStyle w:val="35"/>
                    <w:rPr>
                      <w:color w:val="auto"/>
                      <w:highlight w:val="none"/>
                    </w:rPr>
                  </w:pPr>
                </w:p>
              </w:tc>
              <w:tc>
                <w:tcPr>
                  <w:tcW w:w="261" w:type="pct"/>
                  <w:vAlign w:val="center"/>
                </w:tcPr>
                <w:p>
                  <w:pPr>
                    <w:pStyle w:val="35"/>
                    <w:rPr>
                      <w:color w:val="auto"/>
                      <w:highlight w:val="none"/>
                    </w:rPr>
                  </w:pPr>
                  <w:r>
                    <w:rPr>
                      <w:rFonts w:hint="eastAsia"/>
                      <w:color w:val="auto"/>
                      <w:highlight w:val="none"/>
                    </w:rPr>
                    <w:t>资源开发效率要求</w:t>
                  </w:r>
                </w:p>
              </w:tc>
              <w:tc>
                <w:tcPr>
                  <w:tcW w:w="2174" w:type="pct"/>
                  <w:vAlign w:val="center"/>
                </w:tcPr>
                <w:p>
                  <w:pPr>
                    <w:pStyle w:val="35"/>
                    <w:rPr>
                      <w:color w:val="auto"/>
                      <w:highlight w:val="none"/>
                    </w:rPr>
                  </w:pPr>
                  <w:r>
                    <w:rPr>
                      <w:rFonts w:hint="eastAsia"/>
                      <w:color w:val="auto"/>
                      <w:highlight w:val="none"/>
                    </w:rPr>
                    <w:t>1.实施能源消耗总量和强度双控。2.强化产业园区单位土地面积投资强度和效用指标的刚性约束，提高土地利用效率。3.具备使用再生水条件但未充分利用的钢铁、火电、化工、制浆造纸、印染等项目，不得批准其新增取水许可。在沿海地区电力、化工、石化等行业，推行直接利用海水作为循环冷却等工业用水。4.落实“闽环规〔2023〕1号”文件要求，不再新建每小时35蒸吨以下燃煤锅炉，以及每小时10蒸吨及以下燃生物质和其他使用高污染燃料的锅炉。集中供热管网覆盖范围内禁止新建、扩建分散燃煤、燃油等供热锅炉。5.落实“闽环保大气〔2023〕5号”文件要求，按照“提气、转电、控煤”的发展思路，推动陶瓷行业进一步优化用能结构，实现能源消费清洁低碳化。</w:t>
                  </w:r>
                </w:p>
              </w:tc>
              <w:tc>
                <w:tcPr>
                  <w:tcW w:w="1179" w:type="pct"/>
                  <w:vAlign w:val="center"/>
                </w:tcPr>
                <w:p>
                  <w:pPr>
                    <w:pStyle w:val="35"/>
                    <w:rPr>
                      <w:color w:val="auto"/>
                      <w:highlight w:val="none"/>
                    </w:rPr>
                  </w:pPr>
                  <w:r>
                    <w:rPr>
                      <w:rFonts w:hint="eastAsia"/>
                      <w:color w:val="auto"/>
                      <w:highlight w:val="none"/>
                    </w:rPr>
                    <w:t>本项目主要使用电能，不使用锅炉。</w:t>
                  </w:r>
                </w:p>
              </w:tc>
              <w:tc>
                <w:tcPr>
                  <w:tcW w:w="310" w:type="pct"/>
                  <w:vAlign w:val="center"/>
                </w:tcPr>
                <w:p>
                  <w:pPr>
                    <w:pStyle w:val="35"/>
                    <w:rPr>
                      <w:color w:val="auto"/>
                      <w:highlight w:val="none"/>
                    </w:rPr>
                  </w:pPr>
                  <w:r>
                    <w:rPr>
                      <w:rFonts w:hint="eastAsia"/>
                      <w:color w:val="auto"/>
                      <w:highlight w:val="none"/>
                    </w:rPr>
                    <w:t>符合</w:t>
                  </w:r>
                </w:p>
              </w:tc>
            </w:tr>
          </w:tbl>
          <w:p>
            <w:pPr>
              <w:autoSpaceDE w:val="0"/>
              <w:autoSpaceDN w:val="0"/>
              <w:adjustRightInd w:val="0"/>
              <w:snapToGrid w:val="0"/>
              <w:spacing w:before="156" w:beforeLines="50" w:line="360" w:lineRule="auto"/>
              <w:ind w:firstLine="480" w:firstLineChars="200"/>
              <w:rPr>
                <w:color w:val="auto"/>
                <w:sz w:val="24"/>
                <w:highlight w:val="none"/>
              </w:rPr>
            </w:pPr>
            <w:r>
              <w:rPr>
                <w:rFonts w:hint="eastAsia"/>
                <w:color w:val="auto"/>
                <w:sz w:val="24"/>
                <w:highlight w:val="none"/>
              </w:rPr>
              <w:t>综上所述，项目建设符合“三线一单”的控制要求。</w:t>
            </w:r>
          </w:p>
        </w:tc>
      </w:tr>
    </w:tbl>
    <w:p>
      <w:pPr>
        <w:rPr>
          <w:color w:val="auto"/>
          <w:highlight w:val="none"/>
        </w:rPr>
        <w:sectPr>
          <w:footerReference r:id="rId6" w:type="default"/>
          <w:pgSz w:w="11906" w:h="16838"/>
          <w:pgMar w:top="1417" w:right="1304" w:bottom="1304" w:left="1304" w:header="851" w:footer="992" w:gutter="0"/>
          <w:pgNumType w:start="1"/>
          <w:cols w:space="425" w:num="1"/>
          <w:docGrid w:type="lines" w:linePitch="312" w:charSpace="0"/>
        </w:sectPr>
      </w:pPr>
    </w:p>
    <w:p>
      <w:pPr>
        <w:pStyle w:val="16"/>
        <w:jc w:val="center"/>
        <w:outlineLvl w:val="0"/>
        <w:rPr>
          <w:rFonts w:hint="eastAsia" w:ascii="黑体" w:hAnsi="黑体" w:eastAsia="黑体"/>
          <w:snapToGrid w:val="0"/>
          <w:color w:val="auto"/>
          <w:sz w:val="30"/>
          <w:szCs w:val="30"/>
          <w:highlight w:val="none"/>
        </w:rPr>
      </w:pPr>
      <w:bookmarkStart w:id="5" w:name="_Toc4090"/>
      <w:bookmarkStart w:id="6" w:name="_Toc24031"/>
      <w:r>
        <w:rPr>
          <w:rFonts w:hint="eastAsia" w:ascii="黑体" w:hAnsi="黑体" w:eastAsia="黑体"/>
          <w:snapToGrid w:val="0"/>
          <w:color w:val="auto"/>
          <w:sz w:val="30"/>
          <w:szCs w:val="30"/>
          <w:highlight w:val="none"/>
        </w:rPr>
        <w:t>二、建设项目工程分析</w:t>
      </w:r>
      <w:bookmarkEnd w:id="5"/>
      <w:bookmarkEnd w:id="6"/>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0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8" w:hRule="atLeast"/>
          <w:jc w:val="center"/>
        </w:trPr>
        <w:tc>
          <w:tcPr>
            <w:tcW w:w="268" w:type="pct"/>
            <w:vAlign w:val="center"/>
          </w:tcPr>
          <w:p>
            <w:pPr>
              <w:pStyle w:val="16"/>
              <w:adjustRightInd w:val="0"/>
              <w:snapToGrid w:val="0"/>
              <w:spacing w:before="0" w:beforeAutospacing="0" w:after="0" w:afterAutospacing="0"/>
              <w:jc w:val="center"/>
              <w:rPr>
                <w:rFonts w:hint="eastAsia" w:cs="宋体"/>
                <w:color w:val="auto"/>
                <w:sz w:val="21"/>
                <w:szCs w:val="21"/>
                <w:highlight w:val="none"/>
              </w:rPr>
            </w:pPr>
            <w:r>
              <w:rPr>
                <w:rFonts w:hint="eastAsia" w:cs="宋体"/>
                <w:color w:val="auto"/>
                <w:sz w:val="21"/>
                <w:szCs w:val="21"/>
                <w:highlight w:val="none"/>
              </w:rPr>
              <w:t>建设内容</w:t>
            </w:r>
          </w:p>
        </w:tc>
        <w:tc>
          <w:tcPr>
            <w:tcW w:w="4731" w:type="pct"/>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2.1建设内容</w:t>
            </w:r>
          </w:p>
          <w:p>
            <w:pPr>
              <w:pStyle w:val="29"/>
              <w:rPr>
                <w:color w:val="auto"/>
                <w:highlight w:val="none"/>
              </w:rPr>
            </w:pPr>
            <w:r>
              <w:rPr>
                <w:rFonts w:hint="eastAsia"/>
                <w:color w:val="auto"/>
                <w:highlight w:val="none"/>
              </w:rPr>
              <w:t>2.1.1项目由来</w:t>
            </w:r>
          </w:p>
          <w:p>
            <w:pPr>
              <w:pStyle w:val="30"/>
              <w:ind w:firstLine="480"/>
              <w:rPr>
                <w:color w:val="auto"/>
                <w:highlight w:val="none"/>
              </w:rPr>
            </w:pPr>
            <w:r>
              <w:rPr>
                <w:rFonts w:hint="eastAsia"/>
                <w:color w:val="auto"/>
                <w:highlight w:val="none"/>
              </w:rPr>
              <w:t>我国是世界最大的电铜生产国、消费国，同时也是世界上最大的铜精矿进口国。我国铜储量仅占全球3%，铜精矿年产量占全球8%，铜消费量占全球47%，铜精矿产量和消费能力不匹配。根据国家统计局数据，我国本土铜精矿产量有限，2021年年产量仅为181万吨，供需缺口大，对外依存度高达70-80%。2021年我国铜精矿进口2340.4万吨，2022年进口2532万吨，2023年铜精矿进口2754万吨。2023年8月工信部、发改委、财政部、商务部、海关总署等七部委《有色金属行业稳增长工作方案》第十一条“支持冶炼行业与国外矿企签订长期协议，加大铜精矿、铝土矿等原料进口，完善矿产品及再生资源产品进口检验标准，支持快速检测能力建设，提高产品进口通关效率”，均明确支持进口铜精矿筛分。</w:t>
            </w:r>
          </w:p>
          <w:p>
            <w:pPr>
              <w:pStyle w:val="30"/>
              <w:ind w:firstLine="480"/>
              <w:rPr>
                <w:color w:val="auto"/>
                <w:highlight w:val="none"/>
              </w:rPr>
            </w:pPr>
            <w:r>
              <w:rPr>
                <w:rFonts w:hint="eastAsia"/>
                <w:color w:val="auto"/>
                <w:highlight w:val="none"/>
                <w:lang w:val="en-US" w:eastAsia="zh-CN"/>
              </w:rPr>
              <w:t>目前中国铜业拥有的Toromocho铜矿为全球特大型铜矿之一，年产铜精矿量约100万吨，但约80%以上是非标铜精矿，不能直接报关进口自用。中铜唐山混矿基地和中矿宁德现有的混矿基地尚不能完全消纳，仍有部分非标铜精矿须通过外部混矿基地混配后才能运回自用。因此，在宁德保税物流中心（B型）新建100万吨/年混矿生产线，可进一步充分发挥中铝集团海外资源战略和东南铜业铜冶炼项目的沿海战略优势，进一步推进中国铜业充分利用Toromocho非标铜精矿资源回国自用，辐射中国铜业下属东南铜业铜冶炼原料需求，提升中国铜业铜供应链安全保障能力</w:t>
            </w:r>
            <w:r>
              <w:rPr>
                <w:rFonts w:hint="eastAsia"/>
                <w:color w:val="auto"/>
                <w:highlight w:val="none"/>
              </w:rPr>
              <w:t>。</w:t>
            </w:r>
            <w:r>
              <w:rPr>
                <w:rFonts w:hint="eastAsia"/>
                <w:color w:val="auto"/>
                <w:highlight w:val="none"/>
                <w:lang w:val="en-US" w:eastAsia="zh-CN"/>
              </w:rPr>
              <w:t>该项目建成后，可拓展其它非标矿矿源，突破中矿宁德保税库的集装箱运输限制、监管流程繁琐等瓶颈，支撑中铜国际贸易集团有限公司抢占Toromocho以外的其他非标铜精矿及其他铜资源，更加有序高效地优化进口铜精矿混配模式和提升混配效率，进而支撑中国铜业整体海外铜原料采购渠道的完善和铜原料采购成本的降低。</w:t>
            </w:r>
          </w:p>
          <w:p>
            <w:pPr>
              <w:pStyle w:val="30"/>
              <w:ind w:firstLine="480"/>
              <w:rPr>
                <w:color w:val="auto"/>
                <w:highlight w:val="none"/>
              </w:rPr>
            </w:pPr>
            <w:r>
              <w:rPr>
                <w:rFonts w:hint="eastAsia"/>
                <w:color w:val="auto"/>
                <w:highlight w:val="none"/>
              </w:rPr>
              <w:t>为此，中</w:t>
            </w:r>
            <w:r>
              <w:rPr>
                <w:rFonts w:hint="eastAsia"/>
                <w:color w:val="auto"/>
                <w:highlight w:val="none"/>
                <w:lang w:val="en-US" w:eastAsia="zh-CN"/>
              </w:rPr>
              <w:t>矿</w:t>
            </w:r>
            <w:r>
              <w:rPr>
                <w:rFonts w:hint="eastAsia"/>
                <w:color w:val="auto"/>
                <w:highlight w:val="none"/>
                <w:lang w:eastAsia="zh-CN"/>
              </w:rPr>
              <w:t>（</w:t>
            </w:r>
            <w:r>
              <w:rPr>
                <w:rFonts w:hint="eastAsia"/>
                <w:color w:val="auto"/>
                <w:highlight w:val="none"/>
                <w:lang w:val="en-US" w:eastAsia="zh-CN"/>
              </w:rPr>
              <w:t>宁德</w:t>
            </w:r>
            <w:r>
              <w:rPr>
                <w:rFonts w:hint="eastAsia"/>
                <w:color w:val="auto"/>
                <w:highlight w:val="none"/>
                <w:lang w:eastAsia="zh-CN"/>
              </w:rPr>
              <w:t>）</w:t>
            </w:r>
            <w:r>
              <w:rPr>
                <w:rFonts w:hint="eastAsia"/>
                <w:color w:val="auto"/>
                <w:highlight w:val="none"/>
              </w:rPr>
              <w:t>有限公司拟投资</w:t>
            </w:r>
            <w:r>
              <w:rPr>
                <w:rFonts w:hint="eastAsia"/>
                <w:color w:val="auto"/>
                <w:highlight w:val="none"/>
                <w:lang w:val="en-US" w:eastAsia="zh-CN"/>
              </w:rPr>
              <w:t>8227</w:t>
            </w:r>
            <w:r>
              <w:rPr>
                <w:rFonts w:hint="eastAsia"/>
                <w:color w:val="auto"/>
                <w:highlight w:val="none"/>
              </w:rPr>
              <w:t>万元于宁德保税物流中心（B型）内建设</w:t>
            </w:r>
            <w:r>
              <w:rPr>
                <w:rFonts w:hint="eastAsia"/>
                <w:color w:val="auto"/>
                <w:highlight w:val="none"/>
                <w:lang w:eastAsia="zh-CN"/>
              </w:rPr>
              <w:t>中矿宁德保税物流中心（B型）混矿项目</w:t>
            </w:r>
            <w:r>
              <w:rPr>
                <w:rFonts w:hint="eastAsia"/>
                <w:color w:val="auto"/>
                <w:highlight w:val="none"/>
              </w:rPr>
              <w:t>，主要从海外进口不同品位的铜精矿，在海关监管条件下进行简单物理混配，达到国家进口标准，报关出区进口至</w:t>
            </w:r>
            <w:r>
              <w:rPr>
                <w:rFonts w:hint="eastAsia"/>
                <w:color w:val="auto"/>
                <w:spacing w:val="-4"/>
                <w:highlight w:val="none"/>
              </w:rPr>
              <w:t>宁德40万吨铜冶炼基地项目作为原料使用</w:t>
            </w:r>
            <w:r>
              <w:rPr>
                <w:rFonts w:hint="eastAsia"/>
                <w:color w:val="auto"/>
                <w:highlight w:val="none"/>
              </w:rPr>
              <w:t>。</w:t>
            </w:r>
          </w:p>
          <w:p>
            <w:pPr>
              <w:pStyle w:val="30"/>
              <w:ind w:firstLine="480"/>
              <w:rPr>
                <w:rFonts w:hint="default" w:eastAsia="宋体"/>
                <w:color w:val="auto"/>
                <w:highlight w:val="none"/>
                <w:lang w:val="en-US" w:eastAsia="zh-CN"/>
              </w:rPr>
            </w:pPr>
            <w:r>
              <w:rPr>
                <w:rFonts w:hint="eastAsia"/>
                <w:color w:val="auto"/>
                <w:kern w:val="21"/>
                <w:highlight w:val="none"/>
              </w:rPr>
              <w:t>该项目租赁</w:t>
            </w:r>
            <w:r>
              <w:rPr>
                <w:rFonts w:hint="eastAsia"/>
                <w:color w:val="auto"/>
                <w:highlight w:val="none"/>
              </w:rPr>
              <w:t>宁德保税物流中心（B型）</w:t>
            </w:r>
            <w:r>
              <w:rPr>
                <w:rFonts w:hint="eastAsia"/>
                <w:color w:val="auto"/>
                <w:highlight w:val="none"/>
                <w:lang w:val="en-US" w:eastAsia="zh-CN"/>
              </w:rPr>
              <w:t>用地</w:t>
            </w:r>
            <w:r>
              <w:rPr>
                <w:rFonts w:hint="eastAsia"/>
                <w:color w:val="auto"/>
                <w:highlight w:val="none"/>
              </w:rPr>
              <w:t>，宁德保税物流中心（B型）属于宁德国际物流中心工程，该项目环评于2019年通过</w:t>
            </w:r>
            <w:r>
              <w:rPr>
                <w:rFonts w:hint="eastAsia"/>
                <w:color w:val="auto"/>
                <w:highlight w:val="none"/>
                <w:lang w:val="en-US" w:eastAsia="zh-CN"/>
              </w:rPr>
              <w:t>原</w:t>
            </w:r>
            <w:r>
              <w:rPr>
                <w:rFonts w:hint="eastAsia"/>
                <w:color w:val="auto"/>
                <w:highlight w:val="none"/>
              </w:rPr>
              <w:t>宁德市蕉城区环境保护局审批</w:t>
            </w:r>
            <w:r>
              <w:rPr>
                <w:rStyle w:val="22"/>
                <w:rFonts w:hint="eastAsia" w:ascii="Times New Roman" w:hAnsi="Times New Roman" w:eastAsia="宋体" w:cs="Times New Roman"/>
                <w:snapToGrid w:val="0"/>
                <w:color w:val="auto"/>
                <w:kern w:val="0"/>
                <w:szCs w:val="21"/>
                <w:highlight w:val="none"/>
                <w:lang w:eastAsia="zh-CN"/>
              </w:rPr>
              <w:t>（宁区环监[2019]表5号）</w:t>
            </w:r>
            <w:r>
              <w:rPr>
                <w:rFonts w:hint="eastAsia"/>
                <w:color w:val="auto"/>
                <w:highlight w:val="none"/>
              </w:rPr>
              <w:t>，该环评为一期建设内容，主要包括3#仓库、5#冷库、6#仓库、一期堆场、综合楼、验货平台及监管仓库，配套建设变电所消防泵站，二期工程（本项目</w:t>
            </w:r>
            <w:r>
              <w:rPr>
                <w:rFonts w:hint="eastAsia"/>
                <w:color w:val="auto"/>
                <w:highlight w:val="none"/>
                <w:lang w:val="en-US" w:eastAsia="zh-CN"/>
              </w:rPr>
              <w:t>混矿库</w:t>
            </w:r>
            <w:r>
              <w:rPr>
                <w:rFonts w:hint="eastAsia"/>
                <w:color w:val="auto"/>
                <w:highlight w:val="none"/>
              </w:rPr>
              <w:t>位于二期工程）未进行环评</w:t>
            </w:r>
            <w:r>
              <w:rPr>
                <w:rFonts w:hint="eastAsia"/>
                <w:color w:val="auto"/>
                <w:kern w:val="21"/>
                <w:highlight w:val="none"/>
              </w:rPr>
              <w:t>。</w:t>
            </w:r>
            <w:r>
              <w:rPr>
                <w:rFonts w:hint="eastAsia"/>
                <w:color w:val="auto"/>
                <w:highlight w:val="none"/>
              </w:rPr>
              <w:t>宁德保税物流中心（B型）</w:t>
            </w:r>
            <w:r>
              <w:rPr>
                <w:rFonts w:hint="eastAsia"/>
                <w:color w:val="auto"/>
                <w:highlight w:val="none"/>
                <w:lang w:val="en-US" w:eastAsia="zh-CN"/>
              </w:rPr>
              <w:t>未进行环保验收。</w:t>
            </w:r>
          </w:p>
          <w:p>
            <w:pPr>
              <w:pStyle w:val="30"/>
              <w:ind w:firstLine="480"/>
              <w:rPr>
                <w:rFonts w:hint="eastAsia"/>
                <w:color w:val="auto"/>
                <w:highlight w:val="none"/>
              </w:rPr>
            </w:pPr>
            <w:r>
              <w:rPr>
                <w:rFonts w:hint="eastAsia"/>
                <w:color w:val="auto"/>
                <w:sz w:val="24"/>
                <w:highlight w:val="none"/>
              </w:rPr>
              <w:t>根据宁德国际物流中心工程环评报告表，该环评仅包括陆域形成后具体建设项目的环境影响内容，不包括填海造地部分。同时，宁德国际物流中心工程环境影响评价的范围仅包括有色金属运输至保税仓库、成品外运等过程，有色金属在仓库内的混矿等过程均不包含在其环评范围内，由建设单位或后期租赁单位另行办理环境影响评价手续</w:t>
            </w:r>
          </w:p>
          <w:p>
            <w:pPr>
              <w:pStyle w:val="30"/>
              <w:ind w:firstLine="480"/>
              <w:rPr>
                <w:rFonts w:hint="eastAsia"/>
                <w:color w:val="auto"/>
                <w:highlight w:val="none"/>
              </w:rPr>
            </w:pPr>
            <w:r>
              <w:rPr>
                <w:rFonts w:hint="eastAsia"/>
                <w:color w:val="auto"/>
                <w:highlight w:val="none"/>
              </w:rPr>
              <w:t>本项目属于</w:t>
            </w:r>
            <w:r>
              <w:rPr>
                <w:color w:val="auto"/>
                <w:spacing w:val="-4"/>
                <w:highlight w:val="none"/>
              </w:rPr>
              <w:t>“</w:t>
            </w:r>
            <w:r>
              <w:rPr>
                <w:rFonts w:hint="eastAsia"/>
                <w:color w:val="auto"/>
                <w:spacing w:val="-4"/>
                <w:highlight w:val="none"/>
              </w:rPr>
              <w:t>七、有色金属矿采选业09—10常用有色金属矿采选091—单独的矿石破碎、集运</w:t>
            </w:r>
            <w:r>
              <w:rPr>
                <w:color w:val="auto"/>
                <w:spacing w:val="-88"/>
                <w:highlight w:val="none"/>
              </w:rPr>
              <w:t xml:space="preserve"> </w:t>
            </w:r>
            <w:r>
              <w:rPr>
                <w:color w:val="auto"/>
                <w:highlight w:val="none"/>
              </w:rPr>
              <w:t>”</w:t>
            </w:r>
            <w:r>
              <w:rPr>
                <w:rFonts w:hint="eastAsia"/>
                <w:color w:val="auto"/>
                <w:highlight w:val="none"/>
              </w:rPr>
              <w:t>。根据《建设项目环境影响评价分类管理名录（2021年版）》要求，应编写环境影响报告表。为此，中</w:t>
            </w:r>
            <w:r>
              <w:rPr>
                <w:rFonts w:hint="eastAsia"/>
                <w:color w:val="auto"/>
                <w:highlight w:val="none"/>
                <w:lang w:val="en-US" w:eastAsia="zh-CN"/>
              </w:rPr>
              <w:t>矿</w:t>
            </w:r>
            <w:r>
              <w:rPr>
                <w:rFonts w:hint="eastAsia"/>
                <w:color w:val="auto"/>
                <w:highlight w:val="none"/>
                <w:lang w:eastAsia="zh-CN"/>
              </w:rPr>
              <w:t>（</w:t>
            </w:r>
            <w:r>
              <w:rPr>
                <w:rFonts w:hint="eastAsia"/>
                <w:color w:val="auto"/>
                <w:highlight w:val="none"/>
                <w:lang w:val="en-US" w:eastAsia="zh-CN"/>
              </w:rPr>
              <w:t>宁德</w:t>
            </w:r>
            <w:r>
              <w:rPr>
                <w:rFonts w:hint="eastAsia"/>
                <w:color w:val="auto"/>
                <w:highlight w:val="none"/>
                <w:lang w:eastAsia="zh-CN"/>
              </w:rPr>
              <w:t>）</w:t>
            </w:r>
            <w:r>
              <w:rPr>
                <w:rFonts w:hint="eastAsia"/>
                <w:color w:val="auto"/>
                <w:highlight w:val="none"/>
              </w:rPr>
              <w:t>有限公司委托福建省金皇环保科技股份有限公司承担该项目的环境影响评价工作（委托书见附件1），我司接受委托后立即派技术人员现场踏勘和收集有关资料，并依照相关规定编写成报告表，供建设单位报生态环境主管部门审批。</w:t>
            </w:r>
          </w:p>
          <w:p>
            <w:pPr>
              <w:pStyle w:val="33"/>
              <w:rPr>
                <w:color w:val="auto"/>
                <w:highlight w:val="none"/>
              </w:rPr>
            </w:pPr>
            <w:r>
              <w:rPr>
                <w:rFonts w:hint="eastAsia"/>
                <w:color w:val="auto"/>
                <w:highlight w:val="none"/>
              </w:rPr>
              <w:t>表2.1.1  项目环境影响评价分类管理目录</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2739"/>
              <w:gridCol w:w="2974"/>
              <w:gridCol w:w="1810"/>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762" w:type="pct"/>
                  <w:gridSpan w:val="2"/>
                  <w:vAlign w:val="center"/>
                </w:tcPr>
                <w:p>
                  <w:pPr>
                    <w:pStyle w:val="33"/>
                    <w:rPr>
                      <w:rFonts w:eastAsia="宋体"/>
                      <w:b w:val="0"/>
                      <w:snapToGrid w:val="0"/>
                      <w:color w:val="auto"/>
                      <w:sz w:val="21"/>
                      <w:szCs w:val="21"/>
                      <w:highlight w:val="none"/>
                    </w:rPr>
                  </w:pPr>
                  <w:r>
                    <w:rPr>
                      <w:rFonts w:hint="eastAsia" w:eastAsia="宋体"/>
                      <w:b w:val="0"/>
                      <w:snapToGrid w:val="0"/>
                      <w:color w:val="auto"/>
                      <w:sz w:val="21"/>
                      <w:szCs w:val="21"/>
                      <w:highlight w:val="none"/>
                    </w:rPr>
                    <w:t>项目类别环评类别</w:t>
                  </w:r>
                </w:p>
              </w:tc>
              <w:tc>
                <w:tcPr>
                  <w:tcW w:w="1695" w:type="pct"/>
                  <w:vAlign w:val="center"/>
                </w:tcPr>
                <w:p>
                  <w:pPr>
                    <w:pStyle w:val="41"/>
                    <w:adjustRightInd w:val="0"/>
                    <w:snapToGrid w:val="0"/>
                    <w:spacing w:line="226" w:lineRule="auto"/>
                    <w:jc w:val="center"/>
                    <w:rPr>
                      <w:rFonts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报告书</w:t>
                  </w:r>
                </w:p>
              </w:tc>
              <w:tc>
                <w:tcPr>
                  <w:tcW w:w="1031" w:type="pct"/>
                  <w:vAlign w:val="center"/>
                </w:tcPr>
                <w:p>
                  <w:pPr>
                    <w:pStyle w:val="41"/>
                    <w:adjustRightInd w:val="0"/>
                    <w:snapToGrid w:val="0"/>
                    <w:spacing w:line="226" w:lineRule="auto"/>
                    <w:jc w:val="center"/>
                    <w:rPr>
                      <w:rFonts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报告表</w:t>
                  </w:r>
                </w:p>
              </w:tc>
              <w:tc>
                <w:tcPr>
                  <w:tcW w:w="511" w:type="pct"/>
                  <w:vAlign w:val="center"/>
                </w:tcPr>
                <w:p>
                  <w:pPr>
                    <w:pStyle w:val="41"/>
                    <w:adjustRightInd w:val="0"/>
                    <w:snapToGrid w:val="0"/>
                    <w:spacing w:line="229" w:lineRule="auto"/>
                    <w:jc w:val="center"/>
                    <w:rPr>
                      <w:rFonts w:ascii="Times New Roman" w:hAnsi="Times New Roman" w:cs="Times New Roman"/>
                      <w:snapToGrid w:val="0"/>
                      <w:color w:val="auto"/>
                      <w:sz w:val="21"/>
                      <w:szCs w:val="21"/>
                      <w:highlight w:val="none"/>
                      <w:lang w:eastAsia="zh-CN"/>
                    </w:rPr>
                  </w:pPr>
                  <w:r>
                    <w:rPr>
                      <w:rFonts w:hint="eastAsia" w:ascii="Times New Roman" w:hAnsi="Times New Roman" w:cs="Times New Roman"/>
                      <w:snapToGrid w:val="0"/>
                      <w:color w:val="auto"/>
                      <w:sz w:val="21"/>
                      <w:szCs w:val="21"/>
                      <w:highlight w:val="none"/>
                      <w:lang w:eastAsia="zh-CN"/>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000" w:type="pct"/>
                  <w:gridSpan w:val="5"/>
                  <w:vAlign w:val="center"/>
                </w:tcPr>
                <w:p>
                  <w:pPr>
                    <w:pStyle w:val="33"/>
                    <w:jc w:val="both"/>
                    <w:rPr>
                      <w:rFonts w:eastAsia="宋体"/>
                      <w:b w:val="0"/>
                      <w:snapToGrid w:val="0"/>
                      <w:color w:val="auto"/>
                      <w:sz w:val="21"/>
                      <w:szCs w:val="21"/>
                      <w:highlight w:val="none"/>
                    </w:rPr>
                  </w:pPr>
                  <w:r>
                    <w:rPr>
                      <w:rFonts w:hint="eastAsia" w:eastAsia="宋体"/>
                      <w:b w:val="0"/>
                      <w:snapToGrid w:val="0"/>
                      <w:color w:val="auto"/>
                      <w:sz w:val="21"/>
                      <w:szCs w:val="21"/>
                      <w:highlight w:val="none"/>
                    </w:rPr>
                    <w:t>七、有色金属矿采选业09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201" w:type="pct"/>
                  <w:vAlign w:val="center"/>
                </w:tcPr>
                <w:p>
                  <w:pPr>
                    <w:pStyle w:val="35"/>
                    <w:contextualSpacing/>
                    <w:rPr>
                      <w:color w:val="auto"/>
                      <w:highlight w:val="none"/>
                      <w:lang w:eastAsia="en-US"/>
                    </w:rPr>
                  </w:pPr>
                  <w:r>
                    <w:rPr>
                      <w:rFonts w:hint="eastAsia"/>
                      <w:color w:val="auto"/>
                      <w:spacing w:val="-4"/>
                      <w:highlight w:val="none"/>
                    </w:rPr>
                    <w:t>10</w:t>
                  </w:r>
                </w:p>
              </w:tc>
              <w:tc>
                <w:tcPr>
                  <w:tcW w:w="1561" w:type="pct"/>
                  <w:vAlign w:val="center"/>
                </w:tcPr>
                <w:p>
                  <w:pPr>
                    <w:pStyle w:val="35"/>
                    <w:contextualSpacing/>
                    <w:rPr>
                      <w:color w:val="auto"/>
                      <w:spacing w:val="-4"/>
                      <w:highlight w:val="none"/>
                    </w:rPr>
                  </w:pPr>
                  <w:r>
                    <w:rPr>
                      <w:rFonts w:hint="eastAsia"/>
                      <w:color w:val="auto"/>
                      <w:spacing w:val="-4"/>
                      <w:highlight w:val="none"/>
                    </w:rPr>
                    <w:t>常用有色金属矿采选091；贵金属矿采选092；稀有稀土金属矿采选093</w:t>
                  </w:r>
                </w:p>
              </w:tc>
              <w:tc>
                <w:tcPr>
                  <w:tcW w:w="1695" w:type="pct"/>
                  <w:vAlign w:val="center"/>
                </w:tcPr>
                <w:p>
                  <w:pPr>
                    <w:pStyle w:val="35"/>
                    <w:contextualSpacing/>
                    <w:rPr>
                      <w:color w:val="auto"/>
                      <w:highlight w:val="none"/>
                    </w:rPr>
                  </w:pPr>
                  <w:r>
                    <w:rPr>
                      <w:rFonts w:hint="eastAsia"/>
                      <w:color w:val="auto"/>
                      <w:highlight w:val="none"/>
                    </w:rPr>
                    <w:t>全部（含新建或扩建的独立尾矿库；不含单独的矿石破碎、集运；不含矿区修复治理工程）</w:t>
                  </w:r>
                </w:p>
              </w:tc>
              <w:tc>
                <w:tcPr>
                  <w:tcW w:w="1031" w:type="pct"/>
                  <w:vAlign w:val="center"/>
                </w:tcPr>
                <w:p>
                  <w:pPr>
                    <w:pStyle w:val="35"/>
                    <w:contextualSpacing/>
                    <w:rPr>
                      <w:color w:val="auto"/>
                      <w:highlight w:val="none"/>
                    </w:rPr>
                  </w:pPr>
                  <w:r>
                    <w:rPr>
                      <w:rFonts w:hint="eastAsia"/>
                      <w:color w:val="auto"/>
                      <w:highlight w:val="none"/>
                    </w:rPr>
                    <w:t>单独的矿石破碎、集运；矿区修复治理工程</w:t>
                  </w:r>
                </w:p>
              </w:tc>
              <w:tc>
                <w:tcPr>
                  <w:tcW w:w="511" w:type="pct"/>
                  <w:vAlign w:val="center"/>
                </w:tcPr>
                <w:p>
                  <w:pPr>
                    <w:pStyle w:val="35"/>
                    <w:contextualSpacing/>
                    <w:rPr>
                      <w:color w:val="auto"/>
                      <w:highlight w:val="none"/>
                    </w:rPr>
                  </w:pPr>
                  <w:r>
                    <w:rPr>
                      <w:rFonts w:hint="eastAsia"/>
                      <w:color w:val="auto"/>
                      <w:highlight w:val="none"/>
                    </w:rPr>
                    <w:t>/</w:t>
                  </w:r>
                </w:p>
              </w:tc>
            </w:tr>
          </w:tbl>
          <w:p>
            <w:pPr>
              <w:pStyle w:val="29"/>
              <w:rPr>
                <w:color w:val="auto"/>
                <w:highlight w:val="none"/>
              </w:rPr>
            </w:pPr>
            <w:r>
              <w:rPr>
                <w:rFonts w:hint="eastAsia"/>
                <w:color w:val="auto"/>
                <w:highlight w:val="none"/>
              </w:rPr>
              <w:t>2.1.2工程概况</w:t>
            </w:r>
          </w:p>
          <w:p>
            <w:pPr>
              <w:pStyle w:val="30"/>
              <w:ind w:firstLine="0" w:firstLineChars="0"/>
              <w:rPr>
                <w:b/>
                <w:bCs/>
                <w:color w:val="auto"/>
                <w:highlight w:val="none"/>
              </w:rPr>
            </w:pPr>
            <w:r>
              <w:rPr>
                <w:rFonts w:hint="eastAsia"/>
                <w:b/>
                <w:bCs/>
                <w:color w:val="auto"/>
                <w:highlight w:val="none"/>
              </w:rPr>
              <w:t>2.1.2.1基本情况</w:t>
            </w:r>
          </w:p>
          <w:p>
            <w:pPr>
              <w:pStyle w:val="30"/>
              <w:ind w:firstLine="480"/>
              <w:rPr>
                <w:rFonts w:hint="eastAsia" w:ascii="宋体" w:hAnsi="宋体" w:cs="宋体"/>
                <w:color w:val="auto"/>
                <w:highlight w:val="none"/>
              </w:rPr>
            </w:pPr>
            <w:r>
              <w:rPr>
                <w:color w:val="auto"/>
                <w:highlight w:val="none"/>
              </w:rPr>
              <w:t>（1）项目名称：</w:t>
            </w:r>
            <w:r>
              <w:rPr>
                <w:rFonts w:hint="eastAsia"/>
                <w:color w:val="auto"/>
                <w:highlight w:val="none"/>
                <w:lang w:eastAsia="zh-CN"/>
              </w:rPr>
              <w:t>中矿宁德保税物流中心（B型）混矿项目</w:t>
            </w:r>
            <w:r>
              <w:rPr>
                <w:rFonts w:ascii="宋体" w:hAnsi="宋体" w:cs="宋体"/>
                <w:color w:val="auto"/>
                <w:highlight w:val="none"/>
              </w:rPr>
              <w:t>；</w:t>
            </w:r>
          </w:p>
          <w:p>
            <w:pPr>
              <w:pStyle w:val="30"/>
              <w:ind w:firstLine="480"/>
              <w:rPr>
                <w:color w:val="auto"/>
                <w:highlight w:val="none"/>
              </w:rPr>
            </w:pPr>
            <w:r>
              <w:rPr>
                <w:color w:val="auto"/>
                <w:highlight w:val="none"/>
              </w:rPr>
              <w:t>（2）建设单位：</w:t>
            </w:r>
            <w:r>
              <w:rPr>
                <w:rFonts w:hint="eastAsia"/>
                <w:color w:val="auto"/>
                <w:highlight w:val="none"/>
              </w:rPr>
              <w:t>中</w:t>
            </w:r>
            <w:r>
              <w:rPr>
                <w:rFonts w:hint="eastAsia"/>
                <w:color w:val="auto"/>
                <w:highlight w:val="none"/>
                <w:lang w:val="en-US" w:eastAsia="zh-CN"/>
              </w:rPr>
              <w:t>矿</w:t>
            </w:r>
            <w:r>
              <w:rPr>
                <w:rFonts w:hint="eastAsia"/>
                <w:color w:val="auto"/>
                <w:highlight w:val="none"/>
                <w:lang w:eastAsia="zh-CN"/>
              </w:rPr>
              <w:t>（</w:t>
            </w:r>
            <w:r>
              <w:rPr>
                <w:rFonts w:hint="eastAsia"/>
                <w:color w:val="auto"/>
                <w:highlight w:val="none"/>
                <w:lang w:val="en-US" w:eastAsia="zh-CN"/>
              </w:rPr>
              <w:t>宁德</w:t>
            </w:r>
            <w:r>
              <w:rPr>
                <w:rFonts w:hint="eastAsia"/>
                <w:color w:val="auto"/>
                <w:highlight w:val="none"/>
                <w:lang w:eastAsia="zh-CN"/>
              </w:rPr>
              <w:t>）</w:t>
            </w:r>
            <w:r>
              <w:rPr>
                <w:rFonts w:hint="eastAsia"/>
                <w:color w:val="auto"/>
                <w:highlight w:val="none"/>
              </w:rPr>
              <w:t>有限公司</w:t>
            </w:r>
            <w:r>
              <w:rPr>
                <w:color w:val="auto"/>
                <w:highlight w:val="none"/>
              </w:rPr>
              <w:t>；</w:t>
            </w:r>
          </w:p>
          <w:p>
            <w:pPr>
              <w:pStyle w:val="30"/>
              <w:ind w:firstLine="480"/>
              <w:rPr>
                <w:color w:val="auto"/>
                <w:highlight w:val="none"/>
              </w:rPr>
            </w:pPr>
            <w:r>
              <w:rPr>
                <w:color w:val="auto"/>
                <w:highlight w:val="none"/>
              </w:rPr>
              <w:t>（3）建设性质：</w:t>
            </w:r>
            <w:r>
              <w:rPr>
                <w:rFonts w:hint="eastAsia"/>
                <w:color w:val="auto"/>
                <w:highlight w:val="none"/>
                <w:lang w:val="en-US" w:eastAsia="zh-CN"/>
              </w:rPr>
              <w:t>新</w:t>
            </w:r>
            <w:r>
              <w:rPr>
                <w:rFonts w:hint="eastAsia"/>
                <w:color w:val="auto"/>
                <w:highlight w:val="none"/>
              </w:rPr>
              <w:t>建</w:t>
            </w:r>
            <w:r>
              <w:rPr>
                <w:color w:val="auto"/>
                <w:highlight w:val="none"/>
              </w:rPr>
              <w:t>；</w:t>
            </w:r>
          </w:p>
          <w:p>
            <w:pPr>
              <w:pStyle w:val="30"/>
              <w:ind w:firstLine="480"/>
              <w:rPr>
                <w:color w:val="auto"/>
                <w:highlight w:val="none"/>
              </w:rPr>
            </w:pPr>
            <w:r>
              <w:rPr>
                <w:color w:val="auto"/>
                <w:highlight w:val="none"/>
              </w:rPr>
              <w:t>（4）建设地点：</w:t>
            </w:r>
            <w:r>
              <w:rPr>
                <w:rFonts w:hint="eastAsia"/>
                <w:color w:val="auto"/>
                <w:highlight w:val="none"/>
              </w:rPr>
              <w:t>福建省宁德市蕉城区漳湾镇鸟屿村垅中路163号宁德保税物流中心B型</w:t>
            </w:r>
            <w:r>
              <w:rPr>
                <w:color w:val="auto"/>
                <w:szCs w:val="28"/>
                <w:highlight w:val="none"/>
              </w:rPr>
              <w:t>；</w:t>
            </w:r>
          </w:p>
          <w:p>
            <w:pPr>
              <w:pStyle w:val="30"/>
              <w:ind w:firstLine="480"/>
              <w:rPr>
                <w:rFonts w:hint="eastAsia" w:eastAsia="宋体"/>
                <w:color w:val="auto"/>
                <w:highlight w:val="none"/>
                <w:lang w:eastAsia="zh-CN"/>
              </w:rPr>
            </w:pPr>
            <w:r>
              <w:rPr>
                <w:color w:val="auto"/>
                <w:highlight w:val="none"/>
              </w:rPr>
              <w:t>（5）建设规模：</w:t>
            </w:r>
            <w:r>
              <w:rPr>
                <w:rFonts w:hint="eastAsia"/>
                <w:color w:val="auto"/>
                <w:highlight w:val="none"/>
              </w:rPr>
              <w:t>拟在宁德保税物流中心</w:t>
            </w:r>
            <w:r>
              <w:rPr>
                <w:rFonts w:hint="eastAsia"/>
                <w:color w:val="auto"/>
                <w:highlight w:val="none"/>
                <w:lang w:eastAsia="zh-CN"/>
              </w:rPr>
              <w:t>（</w:t>
            </w:r>
            <w:r>
              <w:rPr>
                <w:rFonts w:hint="eastAsia"/>
                <w:color w:val="auto"/>
                <w:highlight w:val="none"/>
              </w:rPr>
              <w:t>B型</w:t>
            </w:r>
            <w:r>
              <w:rPr>
                <w:rFonts w:hint="eastAsia"/>
                <w:color w:val="auto"/>
                <w:highlight w:val="none"/>
                <w:lang w:eastAsia="zh-CN"/>
              </w:rPr>
              <w:t>）</w:t>
            </w:r>
            <w:r>
              <w:rPr>
                <w:rFonts w:hint="eastAsia"/>
                <w:color w:val="auto"/>
                <w:highlight w:val="none"/>
              </w:rPr>
              <w:t>仓库建设年混矿量100万吨规模混矿项目。中矿</w:t>
            </w:r>
            <w:r>
              <w:rPr>
                <w:rFonts w:hint="eastAsia"/>
                <w:color w:val="auto"/>
                <w:highlight w:val="none"/>
                <w:lang w:eastAsia="zh-CN"/>
              </w:rPr>
              <w:t>（</w:t>
            </w:r>
            <w:r>
              <w:rPr>
                <w:rFonts w:hint="eastAsia"/>
                <w:color w:val="auto"/>
                <w:highlight w:val="none"/>
              </w:rPr>
              <w:t>宁德</w:t>
            </w:r>
            <w:r>
              <w:rPr>
                <w:rFonts w:hint="eastAsia"/>
                <w:color w:val="auto"/>
                <w:highlight w:val="none"/>
                <w:lang w:eastAsia="zh-CN"/>
              </w:rPr>
              <w:t>）</w:t>
            </w:r>
            <w:r>
              <w:rPr>
                <w:rFonts w:hint="eastAsia"/>
                <w:color w:val="auto"/>
                <w:highlight w:val="none"/>
              </w:rPr>
              <w:t>有限公司主要投资混矿加工生产线，包括圆筒混料机、胶带运输机、外部管式机</w:t>
            </w:r>
            <w:r>
              <w:rPr>
                <w:rFonts w:hint="eastAsia"/>
                <w:color w:val="auto"/>
                <w:highlight w:val="none"/>
                <w:lang w:eastAsia="zh-CN"/>
              </w:rPr>
              <w:t>、</w:t>
            </w:r>
            <w:r>
              <w:rPr>
                <w:rFonts w:hint="eastAsia"/>
                <w:color w:val="auto"/>
                <w:highlight w:val="none"/>
              </w:rPr>
              <w:t>皮带电子皮带秤、监控设备及DCS控制系统等设备。项目所用仓库及相关配套设备设施由宁德保税物流中心</w:t>
            </w:r>
            <w:r>
              <w:rPr>
                <w:rFonts w:hint="eastAsia"/>
                <w:color w:val="auto"/>
                <w:highlight w:val="none"/>
                <w:lang w:eastAsia="zh-CN"/>
              </w:rPr>
              <w:t>（</w:t>
            </w:r>
            <w:r>
              <w:rPr>
                <w:rFonts w:hint="eastAsia"/>
                <w:color w:val="auto"/>
                <w:highlight w:val="none"/>
              </w:rPr>
              <w:t>B型</w:t>
            </w:r>
            <w:r>
              <w:rPr>
                <w:rFonts w:hint="eastAsia"/>
                <w:color w:val="auto"/>
                <w:highlight w:val="none"/>
                <w:lang w:eastAsia="zh-CN"/>
              </w:rPr>
              <w:t>）</w:t>
            </w:r>
            <w:r>
              <w:rPr>
                <w:rFonts w:hint="eastAsia"/>
                <w:color w:val="auto"/>
                <w:highlight w:val="none"/>
              </w:rPr>
              <w:t>园区业主宁德市交投集团完成</w:t>
            </w:r>
            <w:r>
              <w:rPr>
                <w:rFonts w:hint="eastAsia"/>
                <w:color w:val="auto"/>
                <w:highlight w:val="none"/>
                <w:lang w:eastAsia="zh-CN"/>
              </w:rPr>
              <w:t>；</w:t>
            </w:r>
          </w:p>
          <w:p>
            <w:pPr>
              <w:pStyle w:val="30"/>
              <w:ind w:firstLine="480"/>
              <w:rPr>
                <w:color w:val="auto"/>
                <w:szCs w:val="28"/>
                <w:highlight w:val="none"/>
              </w:rPr>
            </w:pPr>
            <w:r>
              <w:rPr>
                <w:color w:val="auto"/>
                <w:highlight w:val="none"/>
              </w:rPr>
              <w:t>（6）项目投资：</w:t>
            </w:r>
            <w:r>
              <w:rPr>
                <w:color w:val="auto"/>
                <w:szCs w:val="28"/>
                <w:highlight w:val="none"/>
              </w:rPr>
              <w:t>项目总投资</w:t>
            </w:r>
            <w:r>
              <w:rPr>
                <w:rFonts w:hint="eastAsia"/>
                <w:color w:val="auto"/>
                <w:szCs w:val="28"/>
                <w:highlight w:val="none"/>
                <w:lang w:val="en-US" w:eastAsia="zh-CN"/>
              </w:rPr>
              <w:t>8227</w:t>
            </w:r>
            <w:r>
              <w:rPr>
                <w:color w:val="auto"/>
                <w:szCs w:val="28"/>
                <w:highlight w:val="none"/>
              </w:rPr>
              <w:t>万元；</w:t>
            </w:r>
          </w:p>
          <w:p>
            <w:pPr>
              <w:pStyle w:val="30"/>
              <w:ind w:firstLine="480"/>
              <w:rPr>
                <w:color w:val="auto"/>
                <w:szCs w:val="28"/>
                <w:highlight w:val="none"/>
              </w:rPr>
            </w:pPr>
            <w:r>
              <w:rPr>
                <w:color w:val="auto"/>
                <w:szCs w:val="28"/>
                <w:highlight w:val="none"/>
              </w:rPr>
              <w:t>（7）</w:t>
            </w:r>
            <w:r>
              <w:rPr>
                <w:rFonts w:hint="eastAsia"/>
                <w:color w:val="auto"/>
                <w:szCs w:val="28"/>
                <w:highlight w:val="none"/>
              </w:rPr>
              <w:t>劳动</w:t>
            </w:r>
            <w:r>
              <w:rPr>
                <w:color w:val="auto"/>
                <w:szCs w:val="28"/>
                <w:highlight w:val="none"/>
              </w:rPr>
              <w:t>定员：</w:t>
            </w:r>
            <w:r>
              <w:rPr>
                <w:color w:val="auto"/>
                <w:highlight w:val="none"/>
              </w:rPr>
              <w:t>新增劳动定员</w:t>
            </w:r>
            <w:r>
              <w:rPr>
                <w:rFonts w:hint="eastAsia"/>
                <w:color w:val="auto"/>
                <w:highlight w:val="none"/>
                <w:lang w:val="en-US" w:eastAsia="zh-CN"/>
              </w:rPr>
              <w:t>28</w:t>
            </w:r>
            <w:r>
              <w:rPr>
                <w:color w:val="auto"/>
                <w:highlight w:val="none"/>
              </w:rPr>
              <w:t>人</w:t>
            </w:r>
            <w:r>
              <w:rPr>
                <w:color w:val="auto"/>
                <w:szCs w:val="28"/>
                <w:highlight w:val="none"/>
              </w:rPr>
              <w:t>；</w:t>
            </w:r>
          </w:p>
          <w:p>
            <w:pPr>
              <w:pStyle w:val="30"/>
              <w:ind w:firstLine="480"/>
              <w:rPr>
                <w:color w:val="auto"/>
                <w:szCs w:val="28"/>
                <w:highlight w:val="none"/>
              </w:rPr>
            </w:pPr>
            <w:r>
              <w:rPr>
                <w:color w:val="auto"/>
                <w:szCs w:val="28"/>
                <w:highlight w:val="none"/>
              </w:rPr>
              <w:t>（8）</w:t>
            </w:r>
            <w:r>
              <w:rPr>
                <w:rFonts w:hint="eastAsia"/>
                <w:color w:val="auto"/>
                <w:szCs w:val="28"/>
                <w:highlight w:val="none"/>
              </w:rPr>
              <w:t>工作制度</w:t>
            </w:r>
            <w:r>
              <w:rPr>
                <w:color w:val="auto"/>
                <w:szCs w:val="28"/>
                <w:highlight w:val="none"/>
              </w:rPr>
              <w:t>：</w:t>
            </w:r>
            <w:r>
              <w:rPr>
                <w:rFonts w:hint="eastAsia"/>
                <w:color w:val="auto"/>
                <w:szCs w:val="28"/>
                <w:highlight w:val="none"/>
              </w:rPr>
              <w:t>年生产330天，三班制，每班次8小时，一天生产24小时，全年生产7920小时。</w:t>
            </w:r>
          </w:p>
          <w:p>
            <w:pPr>
              <w:pStyle w:val="30"/>
              <w:ind w:firstLine="480"/>
              <w:rPr>
                <w:color w:val="auto"/>
                <w:szCs w:val="28"/>
                <w:highlight w:val="none"/>
              </w:rPr>
            </w:pPr>
            <w:r>
              <w:rPr>
                <w:rFonts w:hint="eastAsia"/>
                <w:color w:val="auto"/>
                <w:szCs w:val="28"/>
                <w:highlight w:val="none"/>
              </w:rPr>
              <w:t>本项目工程组成</w:t>
            </w:r>
            <w:r>
              <w:rPr>
                <w:rFonts w:hint="eastAsia"/>
                <w:color w:val="auto"/>
                <w:szCs w:val="28"/>
                <w:highlight w:val="none"/>
                <w:lang w:eastAsia="zh-CN"/>
              </w:rPr>
              <w:t>如下</w:t>
            </w:r>
            <w:r>
              <w:rPr>
                <w:rFonts w:hint="eastAsia"/>
                <w:color w:val="auto"/>
                <w:szCs w:val="28"/>
                <w:highlight w:val="none"/>
              </w:rPr>
              <w:t>表2.1.2所示。</w:t>
            </w:r>
          </w:p>
          <w:p>
            <w:pPr>
              <w:pStyle w:val="33"/>
              <w:rPr>
                <w:color w:val="auto"/>
                <w:highlight w:val="none"/>
              </w:rPr>
            </w:pPr>
            <w:r>
              <w:rPr>
                <w:rFonts w:hint="eastAsia"/>
                <w:color w:val="auto"/>
                <w:highlight w:val="none"/>
              </w:rPr>
              <w:t>表2.1.2  项目组成表</w:t>
            </w:r>
          </w:p>
          <w:tbl>
            <w:tblPr>
              <w:tblStyle w:val="3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5"/>
              <w:gridCol w:w="482"/>
              <w:gridCol w:w="881"/>
              <w:gridCol w:w="4897"/>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 w:hRule="atLeast"/>
              </w:trPr>
              <w:tc>
                <w:tcPr>
                  <w:tcW w:w="568" w:type="pct"/>
                  <w:vAlign w:val="center"/>
                </w:tcPr>
                <w:p>
                  <w:pPr>
                    <w:pStyle w:val="34"/>
                    <w:rPr>
                      <w:b/>
                      <w:bCs/>
                      <w:color w:val="auto"/>
                      <w:highlight w:val="none"/>
                    </w:rPr>
                  </w:pPr>
                  <w:r>
                    <w:rPr>
                      <w:b/>
                      <w:bCs/>
                      <w:color w:val="auto"/>
                      <w:highlight w:val="none"/>
                    </w:rPr>
                    <w:t>工程类别</w:t>
                  </w:r>
                </w:p>
              </w:tc>
              <w:tc>
                <w:tcPr>
                  <w:tcW w:w="3568" w:type="pct"/>
                  <w:gridSpan w:val="3"/>
                  <w:vAlign w:val="center"/>
                </w:tcPr>
                <w:p>
                  <w:pPr>
                    <w:pStyle w:val="34"/>
                    <w:rPr>
                      <w:b/>
                      <w:bCs/>
                      <w:color w:val="auto"/>
                      <w:highlight w:val="none"/>
                    </w:rPr>
                  </w:pPr>
                  <w:r>
                    <w:rPr>
                      <w:b/>
                      <w:bCs/>
                      <w:color w:val="auto"/>
                      <w:highlight w:val="none"/>
                    </w:rPr>
                    <w:t>建设内容</w:t>
                  </w:r>
                </w:p>
              </w:tc>
              <w:tc>
                <w:tcPr>
                  <w:tcW w:w="862" w:type="pct"/>
                  <w:vAlign w:val="center"/>
                </w:tcPr>
                <w:p>
                  <w:pPr>
                    <w:pStyle w:val="34"/>
                    <w:rPr>
                      <w:b/>
                      <w:bCs/>
                      <w:color w:val="auto"/>
                      <w:highlight w:val="none"/>
                    </w:rPr>
                  </w:pPr>
                  <w:r>
                    <w:rPr>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568" w:type="pct"/>
                  <w:vAlign w:val="center"/>
                </w:tcPr>
                <w:p>
                  <w:pPr>
                    <w:pStyle w:val="35"/>
                    <w:snapToGrid/>
                    <w:contextualSpacing/>
                    <w:rPr>
                      <w:color w:val="auto"/>
                      <w:highlight w:val="none"/>
                    </w:rPr>
                  </w:pPr>
                  <w:r>
                    <w:rPr>
                      <w:rFonts w:hint="eastAsia"/>
                      <w:color w:val="auto"/>
                      <w:highlight w:val="none"/>
                    </w:rPr>
                    <w:t>主体工程</w:t>
                  </w:r>
                </w:p>
              </w:tc>
              <w:tc>
                <w:tcPr>
                  <w:tcW w:w="777" w:type="pct"/>
                  <w:gridSpan w:val="2"/>
                  <w:vAlign w:val="center"/>
                </w:tcPr>
                <w:p>
                  <w:pPr>
                    <w:pStyle w:val="35"/>
                    <w:snapToGrid/>
                    <w:contextualSpacing/>
                    <w:rPr>
                      <w:color w:val="auto"/>
                      <w:highlight w:val="none"/>
                    </w:rPr>
                  </w:pPr>
                  <w:r>
                    <w:rPr>
                      <w:rFonts w:hint="eastAsia"/>
                      <w:color w:val="auto"/>
                      <w:highlight w:val="none"/>
                    </w:rPr>
                    <w:t>生产系统</w:t>
                  </w:r>
                </w:p>
              </w:tc>
              <w:tc>
                <w:tcPr>
                  <w:tcW w:w="2790" w:type="pct"/>
                  <w:vAlign w:val="center"/>
                </w:tcPr>
                <w:p>
                  <w:pPr>
                    <w:pStyle w:val="35"/>
                    <w:snapToGrid/>
                    <w:contextualSpacing/>
                    <w:jc w:val="left"/>
                    <w:rPr>
                      <w:color w:val="auto"/>
                      <w:highlight w:val="none"/>
                    </w:rPr>
                  </w:pPr>
                  <w:r>
                    <w:rPr>
                      <w:rFonts w:hint="eastAsia"/>
                      <w:color w:val="auto"/>
                      <w:highlight w:val="none"/>
                    </w:rPr>
                    <w:t>2栋，</w:t>
                  </w:r>
                  <w:r>
                    <w:rPr>
                      <w:rFonts w:hint="eastAsia"/>
                      <w:color w:val="auto"/>
                      <w:highlight w:val="none"/>
                      <w:lang w:val="en-US" w:eastAsia="zh-CN"/>
                    </w:rPr>
                    <w:t>分别为卸矿站（1F）和混矿库（1F，部分2F）</w:t>
                  </w:r>
                  <w:r>
                    <w:rPr>
                      <w:rFonts w:hint="eastAsia"/>
                      <w:color w:val="auto"/>
                      <w:highlight w:val="none"/>
                    </w:rPr>
                    <w:t>，主要设置</w:t>
                  </w:r>
                  <w:r>
                    <w:rPr>
                      <w:rFonts w:hint="eastAsia"/>
                      <w:color w:val="auto"/>
                      <w:highlight w:val="none"/>
                      <w:lang w:val="en-US" w:eastAsia="zh-CN"/>
                    </w:rPr>
                    <w:t>卸矿站、</w:t>
                  </w:r>
                  <w:r>
                    <w:rPr>
                      <w:rFonts w:hint="eastAsia"/>
                      <w:color w:val="auto"/>
                      <w:highlight w:val="none"/>
                    </w:rPr>
                    <w:t>原料</w:t>
                  </w:r>
                  <w:r>
                    <w:rPr>
                      <w:rFonts w:hint="eastAsia"/>
                      <w:color w:val="auto"/>
                      <w:highlight w:val="none"/>
                      <w:lang w:val="en-US" w:eastAsia="zh-CN"/>
                    </w:rPr>
                    <w:t>堆场</w:t>
                  </w:r>
                  <w:r>
                    <w:rPr>
                      <w:rFonts w:hint="eastAsia"/>
                      <w:color w:val="auto"/>
                      <w:highlight w:val="none"/>
                    </w:rPr>
                    <w:t>、1条混矿生产线、成品</w:t>
                  </w:r>
                  <w:r>
                    <w:rPr>
                      <w:rFonts w:hint="eastAsia"/>
                      <w:color w:val="auto"/>
                      <w:highlight w:val="none"/>
                      <w:lang w:val="en-US" w:eastAsia="zh-CN"/>
                    </w:rPr>
                    <w:t>堆场</w:t>
                  </w:r>
                  <w:r>
                    <w:rPr>
                      <w:rFonts w:hint="eastAsia"/>
                      <w:color w:val="auto"/>
                      <w:highlight w:val="none"/>
                    </w:rPr>
                    <w:t>、</w:t>
                  </w:r>
                  <w:r>
                    <w:rPr>
                      <w:rFonts w:hint="eastAsia" w:eastAsia="宋体"/>
                      <w:color w:val="auto"/>
                      <w:highlight w:val="none"/>
                    </w:rPr>
                    <w:t>制样室及中控室</w:t>
                  </w:r>
                  <w:r>
                    <w:rPr>
                      <w:rFonts w:hint="eastAsia" w:eastAsia="方正仿宋_GB2312"/>
                      <w:color w:val="auto"/>
                      <w:highlight w:val="none"/>
                    </w:rPr>
                    <w:t>等</w:t>
                  </w:r>
                  <w:r>
                    <w:rPr>
                      <w:rFonts w:hint="eastAsia"/>
                      <w:color w:val="auto"/>
                      <w:highlight w:val="none"/>
                    </w:rPr>
                    <w:t>。</w:t>
                  </w:r>
                  <w:r>
                    <w:rPr>
                      <w:rFonts w:hint="eastAsia"/>
                      <w:color w:val="auto"/>
                      <w:highlight w:val="none"/>
                      <w:lang w:val="en-US" w:eastAsia="zh-CN"/>
                    </w:rPr>
                    <w:t>卸矿站</w:t>
                  </w:r>
                  <w:r>
                    <w:rPr>
                      <w:rFonts w:hint="eastAsia"/>
                      <w:color w:val="auto"/>
                      <w:highlight w:val="none"/>
                    </w:rPr>
                    <w:t>、</w:t>
                  </w:r>
                  <w:r>
                    <w:rPr>
                      <w:rFonts w:hint="eastAsia"/>
                      <w:color w:val="auto"/>
                      <w:highlight w:val="none"/>
                      <w:lang w:val="en-US" w:eastAsia="zh-CN"/>
                    </w:rPr>
                    <w:t>混矿库</w:t>
                  </w:r>
                  <w:r>
                    <w:rPr>
                      <w:rFonts w:hint="eastAsia"/>
                      <w:color w:val="auto"/>
                      <w:highlight w:val="none"/>
                    </w:rPr>
                    <w:t>进出口安装电子监控装置，并与海关联网。</w:t>
                  </w:r>
                </w:p>
              </w:tc>
              <w:tc>
                <w:tcPr>
                  <w:tcW w:w="862" w:type="pct"/>
                  <w:vAlign w:val="center"/>
                </w:tcPr>
                <w:p>
                  <w:pPr>
                    <w:pStyle w:val="35"/>
                    <w:snapToGrid/>
                    <w:contextualSpacing/>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atLeast"/>
              </w:trPr>
              <w:tc>
                <w:tcPr>
                  <w:tcW w:w="568" w:type="pct"/>
                  <w:vMerge w:val="restart"/>
                  <w:vAlign w:val="center"/>
                </w:tcPr>
                <w:p>
                  <w:pPr>
                    <w:pStyle w:val="35"/>
                    <w:snapToGrid/>
                    <w:contextualSpacing/>
                    <w:rPr>
                      <w:color w:val="auto"/>
                      <w:highlight w:val="none"/>
                    </w:rPr>
                  </w:pPr>
                  <w:r>
                    <w:rPr>
                      <w:rFonts w:hint="eastAsia"/>
                      <w:color w:val="auto"/>
                      <w:highlight w:val="none"/>
                    </w:rPr>
                    <w:t>储运工程</w:t>
                  </w:r>
                </w:p>
              </w:tc>
              <w:tc>
                <w:tcPr>
                  <w:tcW w:w="777" w:type="pct"/>
                  <w:gridSpan w:val="2"/>
                  <w:vAlign w:val="center"/>
                </w:tcPr>
                <w:p>
                  <w:pPr>
                    <w:pStyle w:val="35"/>
                    <w:snapToGrid/>
                    <w:contextualSpacing/>
                    <w:rPr>
                      <w:rFonts w:hint="eastAsia" w:eastAsia="宋体"/>
                      <w:color w:val="auto"/>
                      <w:highlight w:val="none"/>
                      <w:lang w:eastAsia="zh-CN"/>
                    </w:rPr>
                  </w:pPr>
                  <w:r>
                    <w:rPr>
                      <w:color w:val="auto"/>
                      <w:highlight w:val="none"/>
                    </w:rPr>
                    <w:t>原料</w:t>
                  </w:r>
                  <w:r>
                    <w:rPr>
                      <w:rFonts w:hint="eastAsia"/>
                      <w:color w:val="auto"/>
                      <w:highlight w:val="none"/>
                      <w:lang w:val="en-US" w:eastAsia="zh-CN"/>
                    </w:rPr>
                    <w:t>堆放区</w:t>
                  </w:r>
                </w:p>
              </w:tc>
              <w:tc>
                <w:tcPr>
                  <w:tcW w:w="2790" w:type="pct"/>
                  <w:vAlign w:val="center"/>
                </w:tcPr>
                <w:p>
                  <w:pPr>
                    <w:pStyle w:val="35"/>
                    <w:snapToGrid/>
                    <w:contextualSpacing/>
                    <w:jc w:val="left"/>
                    <w:rPr>
                      <w:color w:val="auto"/>
                      <w:highlight w:val="none"/>
                    </w:rPr>
                  </w:pPr>
                  <w:r>
                    <w:rPr>
                      <w:rFonts w:hint="eastAsia"/>
                      <w:color w:val="auto"/>
                      <w:highlight w:val="none"/>
                      <w:lang w:val="en-US" w:eastAsia="zh-CN"/>
                    </w:rPr>
                    <w:t>设6个原料堆放区</w:t>
                  </w:r>
                  <w:r>
                    <w:rPr>
                      <w:rFonts w:hint="eastAsia"/>
                      <w:color w:val="auto"/>
                      <w:highlight w:val="none"/>
                    </w:rPr>
                    <w:t>，最高堆高4m；各批次原料矿按批次分区域存放并做好标识、建立各批次原料矿进出保税库登记。</w:t>
                  </w:r>
                </w:p>
              </w:tc>
              <w:tc>
                <w:tcPr>
                  <w:tcW w:w="862" w:type="pct"/>
                  <w:vAlign w:val="center"/>
                </w:tcPr>
                <w:p>
                  <w:pPr>
                    <w:pStyle w:val="35"/>
                    <w:snapToGrid/>
                    <w:contextualSpacing/>
                    <w:rPr>
                      <w:color w:val="auto"/>
                      <w:highlight w:val="none"/>
                    </w:rPr>
                  </w:pPr>
                  <w:r>
                    <w:rPr>
                      <w:rFonts w:hint="eastAsia"/>
                      <w:color w:val="auto"/>
                      <w:highlight w:val="none"/>
                      <w:lang w:val="en-US" w:eastAsia="zh-CN"/>
                    </w:rPr>
                    <w:t>位于混矿库</w:t>
                  </w:r>
                  <w:r>
                    <w:rPr>
                      <w:rFonts w:hint="eastAsia"/>
                      <w:color w:val="auto"/>
                      <w:highlight w:val="none"/>
                    </w:rPr>
                    <w:t>，</w:t>
                  </w:r>
                  <w:r>
                    <w:rPr>
                      <w:rFonts w:hint="eastAsia"/>
                      <w:color w:val="auto"/>
                      <w:highlight w:val="none"/>
                      <w:lang w:eastAsia="zh-CN"/>
                    </w:rPr>
                    <w:t>封闭</w:t>
                  </w:r>
                  <w:r>
                    <w:rPr>
                      <w:rFonts w:hint="eastAsia"/>
                      <w:color w:val="auto"/>
                      <w:highlight w:val="none"/>
                    </w:rPr>
                    <w:t>结构，可用空间净高为</w:t>
                  </w:r>
                  <w:r>
                    <w:rPr>
                      <w:rFonts w:hint="eastAsia"/>
                      <w:color w:val="auto"/>
                      <w:highlight w:val="none"/>
                      <w:lang w:val="en-US" w:eastAsia="zh-CN"/>
                    </w:rPr>
                    <w:t>1</w:t>
                  </w:r>
                  <w:r>
                    <w:rPr>
                      <w:rFonts w:hint="eastAsia"/>
                      <w:color w:val="auto"/>
                      <w:highlight w:val="none"/>
                    </w:rPr>
                    <w:t>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1"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成品</w:t>
                  </w:r>
                  <w:r>
                    <w:rPr>
                      <w:rFonts w:hint="eastAsia"/>
                      <w:color w:val="auto"/>
                      <w:highlight w:val="none"/>
                      <w:lang w:val="en-US" w:eastAsia="zh-CN"/>
                    </w:rPr>
                    <w:t>堆放区</w:t>
                  </w:r>
                </w:p>
              </w:tc>
              <w:tc>
                <w:tcPr>
                  <w:tcW w:w="2790" w:type="pct"/>
                  <w:vAlign w:val="center"/>
                </w:tcPr>
                <w:p>
                  <w:pPr>
                    <w:pStyle w:val="35"/>
                    <w:snapToGrid/>
                    <w:contextualSpacing/>
                    <w:jc w:val="left"/>
                    <w:rPr>
                      <w:color w:val="auto"/>
                      <w:highlight w:val="none"/>
                    </w:rPr>
                  </w:pPr>
                  <w:r>
                    <w:rPr>
                      <w:rFonts w:hint="eastAsia"/>
                      <w:color w:val="auto"/>
                      <w:highlight w:val="none"/>
                      <w:lang w:val="en-US" w:eastAsia="zh-CN"/>
                    </w:rPr>
                    <w:t>设3个成品堆放区</w:t>
                  </w:r>
                  <w:r>
                    <w:rPr>
                      <w:rFonts w:hint="eastAsia"/>
                      <w:color w:val="auto"/>
                      <w:highlight w:val="none"/>
                    </w:rPr>
                    <w:t>，最高堆高4m；混成矿按批次分区域存放并做好标识、建立各批次混矿产品出入库登记。</w:t>
                  </w:r>
                </w:p>
              </w:tc>
              <w:tc>
                <w:tcPr>
                  <w:tcW w:w="862" w:type="pct"/>
                  <w:vAlign w:val="center"/>
                </w:tcPr>
                <w:p>
                  <w:pPr>
                    <w:pStyle w:val="35"/>
                    <w:snapToGrid/>
                    <w:contextualSpacing/>
                    <w:rPr>
                      <w:color w:val="auto"/>
                      <w:highlight w:val="none"/>
                    </w:rPr>
                  </w:pPr>
                  <w:r>
                    <w:rPr>
                      <w:rFonts w:hint="eastAsia"/>
                      <w:color w:val="auto"/>
                      <w:highlight w:val="none"/>
                      <w:lang w:val="en-US" w:eastAsia="zh-CN"/>
                    </w:rPr>
                    <w:t>位于混矿库</w:t>
                  </w:r>
                  <w:r>
                    <w:rPr>
                      <w:rFonts w:hint="eastAsia"/>
                      <w:color w:val="auto"/>
                      <w:highlight w:val="none"/>
                    </w:rPr>
                    <w:t>，</w:t>
                  </w:r>
                  <w:r>
                    <w:rPr>
                      <w:rFonts w:hint="eastAsia"/>
                      <w:color w:val="auto"/>
                      <w:highlight w:val="none"/>
                      <w:lang w:eastAsia="zh-CN"/>
                    </w:rPr>
                    <w:t>封闭</w:t>
                  </w:r>
                  <w:r>
                    <w:rPr>
                      <w:rFonts w:hint="eastAsia"/>
                      <w:color w:val="auto"/>
                      <w:highlight w:val="none"/>
                    </w:rPr>
                    <w:t>结构，可用空间净高为</w:t>
                  </w:r>
                  <w:r>
                    <w:rPr>
                      <w:rFonts w:hint="eastAsia"/>
                      <w:color w:val="auto"/>
                      <w:highlight w:val="none"/>
                      <w:lang w:val="en-US" w:eastAsia="zh-CN"/>
                    </w:rPr>
                    <w:t>1</w:t>
                  </w:r>
                  <w:r>
                    <w:rPr>
                      <w:rFonts w:hint="eastAsia"/>
                      <w:color w:val="auto"/>
                      <w:highlight w:val="none"/>
                    </w:rPr>
                    <w:t>9m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68" w:type="pct"/>
                  <w:vMerge w:val="restart"/>
                  <w:vAlign w:val="center"/>
                </w:tcPr>
                <w:p>
                  <w:pPr>
                    <w:pStyle w:val="35"/>
                    <w:snapToGrid/>
                    <w:contextualSpacing/>
                    <w:rPr>
                      <w:color w:val="auto"/>
                      <w:highlight w:val="none"/>
                    </w:rPr>
                  </w:pPr>
                  <w:r>
                    <w:rPr>
                      <w:rFonts w:hint="eastAsia"/>
                      <w:color w:val="auto"/>
                      <w:highlight w:val="none"/>
                    </w:rPr>
                    <w:t>辅助工程</w:t>
                  </w:r>
                </w:p>
              </w:tc>
              <w:tc>
                <w:tcPr>
                  <w:tcW w:w="1375" w:type="dxa"/>
                  <w:gridSpan w:val="2"/>
                  <w:vAlign w:val="center"/>
                </w:tcPr>
                <w:p>
                  <w:pPr>
                    <w:pStyle w:val="35"/>
                    <w:snapToGrid/>
                    <w:contextualSpacing/>
                    <w:rPr>
                      <w:rFonts w:hint="eastAsia" w:eastAsia="宋体"/>
                      <w:color w:val="auto"/>
                      <w:highlight w:val="none"/>
                      <w:lang w:val="en-US" w:eastAsia="zh-CN"/>
                    </w:rPr>
                  </w:pPr>
                  <w:r>
                    <w:rPr>
                      <w:rFonts w:hint="eastAsia"/>
                      <w:color w:val="auto"/>
                      <w:highlight w:val="none"/>
                    </w:rPr>
                    <w:t>办公</w:t>
                  </w:r>
                  <w:r>
                    <w:rPr>
                      <w:rFonts w:hint="eastAsia"/>
                      <w:color w:val="auto"/>
                      <w:highlight w:val="none"/>
                      <w:lang w:val="en-US" w:eastAsia="zh-CN"/>
                    </w:rPr>
                    <w:t>室</w:t>
                  </w:r>
                </w:p>
              </w:tc>
              <w:tc>
                <w:tcPr>
                  <w:tcW w:w="4935" w:type="dxa"/>
                  <w:vAlign w:val="center"/>
                </w:tcPr>
                <w:p>
                  <w:pPr>
                    <w:pStyle w:val="35"/>
                    <w:snapToGrid/>
                    <w:contextualSpacing/>
                    <w:jc w:val="left"/>
                    <w:rPr>
                      <w:rFonts w:hint="default" w:eastAsia="宋体"/>
                      <w:color w:val="auto"/>
                      <w:highlight w:val="none"/>
                      <w:lang w:val="en-US" w:eastAsia="zh-CN"/>
                    </w:rPr>
                  </w:pPr>
                  <w:r>
                    <w:rPr>
                      <w:rFonts w:hint="eastAsia"/>
                      <w:color w:val="auto"/>
                      <w:highlight w:val="none"/>
                      <w:lang w:val="en-US" w:eastAsia="zh-CN"/>
                    </w:rPr>
                    <w:t>1间，位于混矿库2楼，</w:t>
                  </w:r>
                  <w:r>
                    <w:rPr>
                      <w:rFonts w:hint="eastAsia"/>
                      <w:color w:val="auto"/>
                      <w:highlight w:val="none"/>
                    </w:rPr>
                    <w:t>位于</w:t>
                  </w:r>
                  <w:r>
                    <w:rPr>
                      <w:rFonts w:hint="eastAsia"/>
                      <w:color w:val="auto"/>
                      <w:highlight w:val="none"/>
                      <w:lang w:val="en-US" w:eastAsia="zh-CN"/>
                    </w:rPr>
                    <w:t>东北侧</w:t>
                  </w:r>
                </w:p>
              </w:tc>
              <w:tc>
                <w:tcPr>
                  <w:tcW w:w="1526" w:type="dxa"/>
                  <w:vAlign w:val="center"/>
                </w:tcPr>
                <w:p>
                  <w:pPr>
                    <w:pStyle w:val="35"/>
                    <w:snapToGrid/>
                    <w:contextualSpacing/>
                    <w:rPr>
                      <w:rFonts w:hint="default" w:eastAsia="宋体"/>
                      <w:color w:val="auto"/>
                      <w:highlight w:val="none"/>
                      <w:lang w:val="en-US" w:eastAsia="zh-CN"/>
                    </w:rPr>
                  </w:pPr>
                  <w:r>
                    <w:rPr>
                      <w:rFonts w:hint="eastAsia"/>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68" w:type="pct"/>
                  <w:vMerge w:val="continue"/>
                  <w:vAlign w:val="center"/>
                </w:tcPr>
                <w:p>
                  <w:pPr>
                    <w:pStyle w:val="35"/>
                    <w:snapToGrid/>
                    <w:contextualSpacing/>
                    <w:rPr>
                      <w:rFonts w:hint="eastAsia"/>
                      <w:color w:val="auto"/>
                      <w:highlight w:val="none"/>
                    </w:rPr>
                  </w:pPr>
                </w:p>
              </w:tc>
              <w:tc>
                <w:tcPr>
                  <w:tcW w:w="1375" w:type="dxa"/>
                  <w:gridSpan w:val="2"/>
                  <w:vAlign w:val="center"/>
                </w:tcPr>
                <w:p>
                  <w:pPr>
                    <w:pStyle w:val="35"/>
                    <w:snapToGrid/>
                    <w:contextualSpacing/>
                    <w:rPr>
                      <w:rFonts w:hint="eastAsia"/>
                      <w:color w:val="auto"/>
                      <w:highlight w:val="none"/>
                    </w:rPr>
                  </w:pPr>
                  <w:r>
                    <w:rPr>
                      <w:rFonts w:hint="eastAsia"/>
                      <w:color w:val="auto"/>
                      <w:highlight w:val="none"/>
                      <w:lang w:val="en-US" w:eastAsia="zh-CN"/>
                    </w:rPr>
                    <w:t>中控室</w:t>
                  </w:r>
                </w:p>
              </w:tc>
              <w:tc>
                <w:tcPr>
                  <w:tcW w:w="4935" w:type="dxa"/>
                  <w:vAlign w:val="center"/>
                </w:tcPr>
                <w:p>
                  <w:pPr>
                    <w:pStyle w:val="35"/>
                    <w:snapToGrid/>
                    <w:contextualSpacing/>
                    <w:jc w:val="left"/>
                    <w:rPr>
                      <w:rFonts w:hint="eastAsia"/>
                      <w:color w:val="auto"/>
                      <w:highlight w:val="none"/>
                      <w:lang w:val="en-US" w:eastAsia="zh-CN"/>
                    </w:rPr>
                  </w:pPr>
                  <w:r>
                    <w:rPr>
                      <w:rFonts w:hint="eastAsia"/>
                      <w:color w:val="auto"/>
                      <w:highlight w:val="none"/>
                      <w:lang w:val="en-US" w:eastAsia="zh-CN"/>
                    </w:rPr>
                    <w:t>1间，位于混矿库2楼，</w:t>
                  </w:r>
                  <w:r>
                    <w:rPr>
                      <w:rFonts w:hint="eastAsia"/>
                      <w:color w:val="auto"/>
                      <w:highlight w:val="none"/>
                    </w:rPr>
                    <w:t>位于</w:t>
                  </w:r>
                  <w:r>
                    <w:rPr>
                      <w:rFonts w:hint="eastAsia"/>
                      <w:color w:val="auto"/>
                      <w:highlight w:val="none"/>
                      <w:lang w:val="en-US" w:eastAsia="zh-CN"/>
                    </w:rPr>
                    <w:t>东北侧</w:t>
                  </w:r>
                </w:p>
              </w:tc>
              <w:tc>
                <w:tcPr>
                  <w:tcW w:w="1526" w:type="dxa"/>
                  <w:vAlign w:val="center"/>
                </w:tcPr>
                <w:p>
                  <w:pPr>
                    <w:pStyle w:val="35"/>
                    <w:snapToGrid/>
                    <w:contextualSpacing/>
                    <w:rPr>
                      <w:rFonts w:hint="eastAsia"/>
                      <w:color w:val="auto"/>
                      <w:highlight w:val="none"/>
                      <w:lang w:val="en-US" w:eastAsia="zh-CN"/>
                    </w:rPr>
                  </w:pPr>
                  <w:r>
                    <w:rPr>
                      <w:rFonts w:hint="eastAsia"/>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trPr>
              <w:tc>
                <w:tcPr>
                  <w:tcW w:w="568" w:type="pct"/>
                  <w:vMerge w:val="continue"/>
                  <w:vAlign w:val="center"/>
                </w:tcPr>
                <w:p>
                  <w:pPr>
                    <w:pStyle w:val="35"/>
                    <w:snapToGrid/>
                    <w:contextualSpacing/>
                    <w:rPr>
                      <w:color w:val="auto"/>
                      <w:highlight w:val="none"/>
                    </w:rPr>
                  </w:pPr>
                </w:p>
              </w:tc>
              <w:tc>
                <w:tcPr>
                  <w:tcW w:w="1375" w:type="dxa"/>
                  <w:gridSpan w:val="2"/>
                  <w:vAlign w:val="center"/>
                </w:tcPr>
                <w:p>
                  <w:pPr>
                    <w:pStyle w:val="35"/>
                    <w:snapToGrid/>
                    <w:contextualSpacing/>
                    <w:rPr>
                      <w:color w:val="auto"/>
                      <w:highlight w:val="none"/>
                    </w:rPr>
                  </w:pPr>
                  <w:r>
                    <w:rPr>
                      <w:rFonts w:hint="eastAsia"/>
                      <w:color w:val="auto"/>
                      <w:highlight w:val="none"/>
                      <w:lang w:val="en-US" w:eastAsia="zh-CN"/>
                    </w:rPr>
                    <w:t>变</w:t>
                  </w:r>
                  <w:r>
                    <w:rPr>
                      <w:rFonts w:hint="eastAsia"/>
                      <w:color w:val="auto"/>
                      <w:highlight w:val="none"/>
                    </w:rPr>
                    <w:t>配电室</w:t>
                  </w:r>
                </w:p>
              </w:tc>
              <w:tc>
                <w:tcPr>
                  <w:tcW w:w="4935" w:type="dxa"/>
                  <w:vAlign w:val="center"/>
                </w:tcPr>
                <w:p>
                  <w:pPr>
                    <w:pStyle w:val="35"/>
                    <w:snapToGrid/>
                    <w:contextualSpacing/>
                    <w:jc w:val="left"/>
                    <w:rPr>
                      <w:color w:val="auto"/>
                      <w:highlight w:val="none"/>
                    </w:rPr>
                  </w:pPr>
                  <w:r>
                    <w:rPr>
                      <w:rFonts w:hint="eastAsia"/>
                      <w:color w:val="auto"/>
                      <w:highlight w:val="none"/>
                      <w:lang w:val="en-US" w:eastAsia="zh-CN"/>
                    </w:rPr>
                    <w:t>混矿库一楼新</w:t>
                  </w:r>
                  <w:r>
                    <w:rPr>
                      <w:rFonts w:hint="eastAsia"/>
                      <w:color w:val="auto"/>
                      <w:highlight w:val="none"/>
                    </w:rPr>
                    <w:t>建配电室，位于东北角</w:t>
                  </w:r>
                </w:p>
              </w:tc>
              <w:tc>
                <w:tcPr>
                  <w:tcW w:w="1526" w:type="dxa"/>
                  <w:vAlign w:val="center"/>
                </w:tcPr>
                <w:p>
                  <w:pPr>
                    <w:pStyle w:val="35"/>
                    <w:snapToGrid/>
                    <w:contextualSpacing/>
                    <w:rPr>
                      <w:rFonts w:hint="eastAsia" w:eastAsia="宋体"/>
                      <w:color w:val="auto"/>
                      <w:highlight w:val="none"/>
                      <w:lang w:eastAsia="zh-CN"/>
                    </w:rPr>
                  </w:pPr>
                  <w:r>
                    <w:rPr>
                      <w:rFonts w:hint="eastAsia"/>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83"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制样室</w:t>
                  </w:r>
                </w:p>
              </w:tc>
              <w:tc>
                <w:tcPr>
                  <w:tcW w:w="2790" w:type="pct"/>
                  <w:vAlign w:val="center"/>
                </w:tcPr>
                <w:p>
                  <w:pPr>
                    <w:pStyle w:val="35"/>
                    <w:snapToGrid/>
                    <w:contextualSpacing/>
                    <w:jc w:val="left"/>
                    <w:rPr>
                      <w:color w:val="auto"/>
                      <w:highlight w:val="none"/>
                    </w:rPr>
                  </w:pPr>
                  <w:r>
                    <w:rPr>
                      <w:rFonts w:hint="eastAsia"/>
                      <w:color w:val="auto"/>
                      <w:highlight w:val="none"/>
                      <w:lang w:val="en-US" w:eastAsia="zh-CN"/>
                    </w:rPr>
                    <w:t>位于混矿库二楼</w:t>
                  </w:r>
                  <w:r>
                    <w:rPr>
                      <w:rFonts w:hint="eastAsia"/>
                      <w:color w:val="auto"/>
                      <w:highlight w:val="none"/>
                    </w:rPr>
                    <w:t>东北角；</w:t>
                  </w:r>
                  <w:r>
                    <w:rPr>
                      <w:rFonts w:hint="eastAsia"/>
                      <w:color w:val="auto"/>
                      <w:highlight w:val="none"/>
                      <w:lang w:val="en-US" w:eastAsia="zh-CN"/>
                    </w:rPr>
                    <w:t>人工采样和自动采样，</w:t>
                  </w:r>
                  <w:r>
                    <w:rPr>
                      <w:rFonts w:hint="eastAsia"/>
                      <w:color w:val="auto"/>
                      <w:highlight w:val="none"/>
                    </w:rPr>
                    <w:t>在制样间制样后外送化验，以满足海关监管的要求。主要用于对每批原料进行采样（每批次采样量约</w:t>
                  </w:r>
                  <w:r>
                    <w:rPr>
                      <w:rFonts w:hint="eastAsia"/>
                      <w:color w:val="auto"/>
                      <w:highlight w:val="none"/>
                      <w:lang w:val="en-US" w:eastAsia="zh-CN"/>
                    </w:rPr>
                    <w:t>10</w:t>
                  </w:r>
                  <w:r>
                    <w:rPr>
                      <w:rFonts w:hint="eastAsia"/>
                      <w:color w:val="auto"/>
                      <w:highlight w:val="none"/>
                    </w:rPr>
                    <w:t>0克）烘干及磨细，制样后外委有资质的单位对原料检测。</w:t>
                  </w:r>
                </w:p>
              </w:tc>
              <w:tc>
                <w:tcPr>
                  <w:tcW w:w="862" w:type="pct"/>
                  <w:vAlign w:val="center"/>
                </w:tcPr>
                <w:p>
                  <w:pPr>
                    <w:pStyle w:val="35"/>
                    <w:snapToGrid/>
                    <w:contextualSpacing/>
                    <w:rPr>
                      <w:rFonts w:hint="eastAsia" w:eastAsia="宋体"/>
                      <w:color w:val="auto"/>
                      <w:highlight w:val="none"/>
                      <w:lang w:eastAsia="zh-CN"/>
                    </w:rPr>
                  </w:pPr>
                  <w:r>
                    <w:rPr>
                      <w:rFonts w:hint="eastAsia"/>
                      <w:color w:val="auto"/>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8" w:type="pct"/>
                  <w:vMerge w:val="restart"/>
                  <w:vAlign w:val="center"/>
                </w:tcPr>
                <w:p>
                  <w:pPr>
                    <w:pStyle w:val="35"/>
                    <w:snapToGrid/>
                    <w:contextualSpacing/>
                    <w:rPr>
                      <w:color w:val="auto"/>
                      <w:highlight w:val="none"/>
                    </w:rPr>
                  </w:pPr>
                  <w:r>
                    <w:rPr>
                      <w:rFonts w:hint="eastAsia"/>
                      <w:color w:val="auto"/>
                      <w:highlight w:val="none"/>
                    </w:rPr>
                    <w:t>公用工程</w:t>
                  </w:r>
                </w:p>
              </w:tc>
              <w:tc>
                <w:tcPr>
                  <w:tcW w:w="777" w:type="pct"/>
                  <w:gridSpan w:val="2"/>
                  <w:vAlign w:val="center"/>
                </w:tcPr>
                <w:p>
                  <w:pPr>
                    <w:pStyle w:val="35"/>
                    <w:snapToGrid/>
                    <w:contextualSpacing/>
                    <w:rPr>
                      <w:color w:val="auto"/>
                      <w:highlight w:val="none"/>
                    </w:rPr>
                  </w:pPr>
                  <w:r>
                    <w:rPr>
                      <w:rFonts w:hint="eastAsia"/>
                      <w:color w:val="auto"/>
                      <w:highlight w:val="none"/>
                    </w:rPr>
                    <w:t>供电工程</w:t>
                  </w:r>
                </w:p>
              </w:tc>
              <w:tc>
                <w:tcPr>
                  <w:tcW w:w="2790" w:type="pct"/>
                  <w:vAlign w:val="center"/>
                </w:tcPr>
                <w:p>
                  <w:pPr>
                    <w:pStyle w:val="35"/>
                    <w:snapToGrid/>
                    <w:contextualSpacing/>
                    <w:jc w:val="left"/>
                    <w:rPr>
                      <w:color w:val="auto"/>
                      <w:highlight w:val="none"/>
                    </w:rPr>
                  </w:pPr>
                  <w:r>
                    <w:rPr>
                      <w:rFonts w:hint="eastAsia"/>
                      <w:color w:val="auto"/>
                      <w:highlight w:val="none"/>
                    </w:rPr>
                    <w:t>由市政供电网供给</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4"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给水工程</w:t>
                  </w:r>
                </w:p>
              </w:tc>
              <w:tc>
                <w:tcPr>
                  <w:tcW w:w="2790" w:type="pct"/>
                  <w:vAlign w:val="center"/>
                </w:tcPr>
                <w:p>
                  <w:pPr>
                    <w:pStyle w:val="35"/>
                    <w:snapToGrid/>
                    <w:contextualSpacing/>
                    <w:jc w:val="left"/>
                    <w:rPr>
                      <w:rFonts w:hint="eastAsia" w:eastAsia="宋体"/>
                      <w:color w:val="auto"/>
                      <w:highlight w:val="none"/>
                      <w:lang w:eastAsia="zh-CN"/>
                    </w:rPr>
                  </w:pPr>
                  <w:r>
                    <w:rPr>
                      <w:rFonts w:hint="eastAsia"/>
                      <w:color w:val="auto"/>
                      <w:highlight w:val="none"/>
                    </w:rPr>
                    <w:t>由市政管网供水</w:t>
                  </w:r>
                  <w:r>
                    <w:rPr>
                      <w:rFonts w:hint="eastAsia"/>
                      <w:color w:val="auto"/>
                      <w:highlight w:val="none"/>
                      <w:lang w:eastAsia="zh-CN"/>
                    </w:rPr>
                    <w:t>，</w:t>
                  </w:r>
                  <w:r>
                    <w:rPr>
                      <w:rFonts w:hint="eastAsia"/>
                      <w:color w:val="auto"/>
                      <w:highlight w:val="none"/>
                      <w:lang w:val="en-US" w:eastAsia="zh-CN"/>
                    </w:rPr>
                    <w:t>引入</w:t>
                  </w:r>
                  <w:r>
                    <w:rPr>
                      <w:rFonts w:hint="eastAsia"/>
                      <w:color w:val="auto"/>
                      <w:highlight w:val="none"/>
                      <w:lang w:eastAsia="zh-CN"/>
                    </w:rPr>
                    <w:t>一条DN100给水管至40m</w:t>
                  </w:r>
                  <w:r>
                    <w:rPr>
                      <w:rFonts w:hint="eastAsia"/>
                      <w:color w:val="auto"/>
                      <w:highlight w:val="none"/>
                      <w:vertAlign w:val="superscript"/>
                      <w:lang w:eastAsia="zh-CN"/>
                    </w:rPr>
                    <w:t>3</w:t>
                  </w:r>
                  <w:r>
                    <w:rPr>
                      <w:rFonts w:hint="eastAsia"/>
                      <w:color w:val="auto"/>
                      <w:highlight w:val="none"/>
                      <w:lang w:eastAsia="zh-CN"/>
                    </w:rPr>
                    <w:t>蓄水箱。</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排水工程</w:t>
                  </w:r>
                </w:p>
              </w:tc>
              <w:tc>
                <w:tcPr>
                  <w:tcW w:w="2790" w:type="pct"/>
                  <w:vAlign w:val="center"/>
                </w:tcPr>
                <w:p>
                  <w:pPr>
                    <w:pStyle w:val="35"/>
                    <w:snapToGrid/>
                    <w:contextualSpacing/>
                    <w:jc w:val="left"/>
                    <w:rPr>
                      <w:color w:val="auto"/>
                      <w:highlight w:val="none"/>
                    </w:rPr>
                  </w:pPr>
                  <w:r>
                    <w:rPr>
                      <w:rFonts w:hint="eastAsia"/>
                      <w:color w:val="auto"/>
                      <w:highlight w:val="none"/>
                    </w:rPr>
                    <w:t>雨污分流；雨水排入雨水管网系统，生活污水排入市政污水管网。</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1" w:hRule="atLeast"/>
              </w:trPr>
              <w:tc>
                <w:tcPr>
                  <w:tcW w:w="568" w:type="pct"/>
                  <w:vMerge w:val="restart"/>
                  <w:vAlign w:val="center"/>
                </w:tcPr>
                <w:p>
                  <w:pPr>
                    <w:pStyle w:val="35"/>
                    <w:snapToGrid/>
                    <w:contextualSpacing/>
                    <w:rPr>
                      <w:color w:val="auto"/>
                      <w:highlight w:val="none"/>
                    </w:rPr>
                  </w:pPr>
                  <w:r>
                    <w:rPr>
                      <w:rFonts w:hint="eastAsia"/>
                      <w:color w:val="auto"/>
                      <w:highlight w:val="none"/>
                    </w:rPr>
                    <w:t>环保工程</w:t>
                  </w:r>
                </w:p>
              </w:tc>
              <w:tc>
                <w:tcPr>
                  <w:tcW w:w="275" w:type="pct"/>
                  <w:vMerge w:val="restart"/>
                  <w:vAlign w:val="center"/>
                </w:tcPr>
                <w:p>
                  <w:pPr>
                    <w:pStyle w:val="35"/>
                    <w:snapToGrid/>
                    <w:contextualSpacing/>
                    <w:rPr>
                      <w:color w:val="auto"/>
                      <w:highlight w:val="none"/>
                    </w:rPr>
                  </w:pPr>
                  <w:r>
                    <w:rPr>
                      <w:rFonts w:hint="eastAsia"/>
                      <w:color w:val="auto"/>
                      <w:highlight w:val="none"/>
                    </w:rPr>
                    <w:t>废水</w:t>
                  </w:r>
                </w:p>
              </w:tc>
              <w:tc>
                <w:tcPr>
                  <w:tcW w:w="501" w:type="pct"/>
                  <w:vAlign w:val="center"/>
                </w:tcPr>
                <w:p>
                  <w:pPr>
                    <w:pStyle w:val="35"/>
                    <w:snapToGrid/>
                    <w:contextualSpacing/>
                    <w:rPr>
                      <w:color w:val="auto"/>
                      <w:highlight w:val="none"/>
                    </w:rPr>
                  </w:pPr>
                  <w:r>
                    <w:rPr>
                      <w:rFonts w:hint="eastAsia"/>
                      <w:color w:val="auto"/>
                      <w:highlight w:val="none"/>
                    </w:rPr>
                    <w:t>生活污水</w:t>
                  </w:r>
                </w:p>
              </w:tc>
              <w:tc>
                <w:tcPr>
                  <w:tcW w:w="2790" w:type="pct"/>
                  <w:vAlign w:val="center"/>
                </w:tcPr>
                <w:p>
                  <w:pPr>
                    <w:pStyle w:val="35"/>
                    <w:snapToGrid/>
                    <w:contextualSpacing/>
                    <w:jc w:val="left"/>
                    <w:rPr>
                      <w:color w:val="auto"/>
                      <w:highlight w:val="none"/>
                    </w:rPr>
                  </w:pP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trPr>
              <w:tc>
                <w:tcPr>
                  <w:tcW w:w="568" w:type="pct"/>
                  <w:vMerge w:val="continue"/>
                  <w:vAlign w:val="center"/>
                </w:tcPr>
                <w:p>
                  <w:pPr>
                    <w:pStyle w:val="35"/>
                    <w:snapToGrid/>
                    <w:contextualSpacing/>
                    <w:rPr>
                      <w:color w:val="auto"/>
                      <w:highlight w:val="none"/>
                    </w:rPr>
                  </w:pPr>
                </w:p>
              </w:tc>
              <w:tc>
                <w:tcPr>
                  <w:tcW w:w="275" w:type="pct"/>
                  <w:vMerge w:val="continue"/>
                  <w:vAlign w:val="center"/>
                </w:tcPr>
                <w:p>
                  <w:pPr>
                    <w:pStyle w:val="35"/>
                    <w:snapToGrid/>
                    <w:contextualSpacing/>
                    <w:rPr>
                      <w:color w:val="auto"/>
                      <w:highlight w:val="none"/>
                    </w:rPr>
                  </w:pPr>
                </w:p>
              </w:tc>
              <w:tc>
                <w:tcPr>
                  <w:tcW w:w="501" w:type="pct"/>
                  <w:vAlign w:val="center"/>
                </w:tcPr>
                <w:p>
                  <w:pPr>
                    <w:pStyle w:val="35"/>
                    <w:snapToGrid/>
                    <w:contextualSpacing/>
                    <w:rPr>
                      <w:color w:val="auto"/>
                      <w:highlight w:val="none"/>
                    </w:rPr>
                  </w:pPr>
                  <w:r>
                    <w:rPr>
                      <w:rFonts w:hint="eastAsia"/>
                      <w:color w:val="auto"/>
                      <w:highlight w:val="none"/>
                    </w:rPr>
                    <w:t>生产废水</w:t>
                  </w:r>
                </w:p>
              </w:tc>
              <w:tc>
                <w:tcPr>
                  <w:tcW w:w="2790" w:type="pct"/>
                  <w:vAlign w:val="center"/>
                </w:tcPr>
                <w:p>
                  <w:pPr>
                    <w:pStyle w:val="35"/>
                    <w:snapToGrid/>
                    <w:contextualSpacing/>
                    <w:jc w:val="left"/>
                    <w:rPr>
                      <w:color w:val="auto"/>
                      <w:highlight w:val="none"/>
                    </w:rPr>
                  </w:pPr>
                  <w:r>
                    <w:rPr>
                      <w:rFonts w:hint="eastAsia"/>
                      <w:color w:val="auto"/>
                      <w:highlight w:val="none"/>
                    </w:rPr>
                    <w:t>1.洗车废水经沉淀池处理后循环利用，不外排。</w:t>
                  </w:r>
                </w:p>
                <w:p>
                  <w:pPr>
                    <w:pStyle w:val="35"/>
                    <w:snapToGrid/>
                    <w:contextualSpacing/>
                    <w:jc w:val="left"/>
                    <w:rPr>
                      <w:rFonts w:hint="eastAsia"/>
                      <w:color w:val="auto"/>
                      <w:highlight w:val="none"/>
                    </w:rPr>
                  </w:pPr>
                  <w:r>
                    <w:rPr>
                      <w:rFonts w:hint="eastAsia"/>
                      <w:color w:val="auto"/>
                      <w:highlight w:val="none"/>
                    </w:rPr>
                    <w:t>2.地面冲洗废水经沉淀池处理后循环利用，不外排。</w:t>
                  </w:r>
                </w:p>
                <w:p>
                  <w:pPr>
                    <w:pStyle w:val="35"/>
                    <w:snapToGrid/>
                    <w:contextualSpacing/>
                    <w:jc w:val="left"/>
                    <w:rPr>
                      <w:rFonts w:hint="eastAsia"/>
                      <w:color w:val="auto"/>
                      <w:highlight w:val="none"/>
                    </w:rPr>
                  </w:pPr>
                  <w:r>
                    <w:rPr>
                      <w:rFonts w:hint="eastAsia"/>
                      <w:color w:val="auto"/>
                      <w:highlight w:val="none"/>
                    </w:rPr>
                    <w:t>3.洗手池废水经沉淀池沉淀处理后循环利用，不外排。</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废气工程</w:t>
                  </w:r>
                </w:p>
              </w:tc>
              <w:tc>
                <w:tcPr>
                  <w:tcW w:w="2790" w:type="pct"/>
                  <w:vAlign w:val="center"/>
                </w:tcPr>
                <w:p>
                  <w:pPr>
                    <w:pStyle w:val="35"/>
                    <w:snapToGrid/>
                    <w:contextualSpacing/>
                    <w:jc w:val="left"/>
                    <w:rPr>
                      <w:color w:val="auto"/>
                      <w:highlight w:val="none"/>
                    </w:rPr>
                  </w:pPr>
                  <w:r>
                    <w:rPr>
                      <w:rFonts w:hint="eastAsia"/>
                      <w:b/>
                      <w:bCs/>
                      <w:color w:val="auto"/>
                      <w:highlight w:val="none"/>
                    </w:rPr>
                    <w:t>有组织粉尘：</w:t>
                  </w:r>
                  <w:r>
                    <w:rPr>
                      <w:rFonts w:hint="eastAsia"/>
                      <w:color w:val="auto"/>
                      <w:highlight w:val="none"/>
                    </w:rPr>
                    <w:t>①</w:t>
                  </w:r>
                  <w:r>
                    <w:rPr>
                      <w:rFonts w:hint="eastAsia"/>
                      <w:color w:val="auto"/>
                      <w:highlight w:val="none"/>
                      <w:lang w:val="en-US" w:eastAsia="zh-CN"/>
                    </w:rPr>
                    <w:t>M-9#</w:t>
                  </w:r>
                  <w:r>
                    <w:rPr>
                      <w:rFonts w:hint="eastAsia"/>
                      <w:color w:val="auto"/>
                      <w:highlight w:val="none"/>
                    </w:rPr>
                    <w:t>转运站</w:t>
                  </w:r>
                  <w:r>
                    <w:rPr>
                      <w:rFonts w:hint="eastAsia"/>
                      <w:color w:val="auto"/>
                      <w:highlight w:val="none"/>
                      <w:lang w:eastAsia="zh-CN"/>
                    </w:rPr>
                    <w:t>（</w:t>
                  </w:r>
                  <w:r>
                    <w:rPr>
                      <w:rFonts w:hint="eastAsia"/>
                      <w:color w:val="auto"/>
                      <w:highlight w:val="none"/>
                      <w:lang w:val="en-US" w:eastAsia="zh-CN"/>
                    </w:rPr>
                    <w:t>新建</w:t>
                  </w:r>
                  <w:r>
                    <w:rPr>
                      <w:rFonts w:hint="eastAsia"/>
                      <w:color w:val="auto"/>
                      <w:highlight w:val="none"/>
                      <w:lang w:eastAsia="zh-CN"/>
                    </w:rPr>
                    <w:t>）</w:t>
                  </w:r>
                  <w:r>
                    <w:rPr>
                      <w:rFonts w:hint="eastAsia"/>
                      <w:color w:val="auto"/>
                      <w:highlight w:val="none"/>
                    </w:rPr>
                    <w:t>设</w:t>
                  </w:r>
                  <w:r>
                    <w:rPr>
                      <w:rFonts w:hint="eastAsia"/>
                      <w:color w:val="auto"/>
                      <w:highlight w:val="none"/>
                      <w:lang w:val="en-US" w:eastAsia="zh-CN"/>
                    </w:rPr>
                    <w:t>塑烧板除尘器</w:t>
                  </w:r>
                  <w:r>
                    <w:rPr>
                      <w:rFonts w:hint="eastAsia"/>
                      <w:color w:val="auto"/>
                      <w:highlight w:val="none"/>
                    </w:rPr>
                    <w:t>，经处理后通过15m高排气筒(DA00</w:t>
                  </w:r>
                  <w:r>
                    <w:rPr>
                      <w:rFonts w:hint="eastAsia"/>
                      <w:color w:val="auto"/>
                      <w:highlight w:val="none"/>
                      <w:lang w:val="en-US" w:eastAsia="zh-CN"/>
                    </w:rPr>
                    <w:t>1</w:t>
                  </w:r>
                  <w:r>
                    <w:rPr>
                      <w:rFonts w:hint="eastAsia"/>
                      <w:color w:val="auto"/>
                      <w:highlight w:val="none"/>
                    </w:rPr>
                    <w:t>)排放。</w:t>
                  </w:r>
                </w:p>
                <w:p>
                  <w:pPr>
                    <w:pStyle w:val="35"/>
                    <w:snapToGrid/>
                    <w:contextualSpacing/>
                    <w:jc w:val="left"/>
                    <w:rPr>
                      <w:rFonts w:hint="eastAsia"/>
                      <w:color w:val="auto"/>
                      <w:highlight w:val="none"/>
                    </w:rPr>
                  </w:pPr>
                  <w:r>
                    <w:rPr>
                      <w:rFonts w:hint="eastAsia"/>
                      <w:color w:val="auto"/>
                      <w:highlight w:val="none"/>
                    </w:rPr>
                    <w:t>②</w:t>
                  </w:r>
                  <w:r>
                    <w:rPr>
                      <w:rFonts w:hint="eastAsia"/>
                      <w:color w:val="auto"/>
                      <w:highlight w:val="none"/>
                      <w:lang w:eastAsia="zh-CN"/>
                    </w:rPr>
                    <w:t>卸矿站</w:t>
                  </w:r>
                  <w:r>
                    <w:rPr>
                      <w:rFonts w:hint="eastAsia"/>
                      <w:color w:val="auto"/>
                      <w:highlight w:val="none"/>
                    </w:rPr>
                    <w:t>：</w:t>
                  </w:r>
                  <w:r>
                    <w:rPr>
                      <w:rFonts w:hint="eastAsia"/>
                      <w:color w:val="auto"/>
                      <w:highlight w:val="none"/>
                      <w:lang w:val="en-US" w:eastAsia="zh-CN"/>
                    </w:rPr>
                    <w:t>在1~3#、5~6#胶带输送机受料点和卸料点</w:t>
                  </w:r>
                  <w:r>
                    <w:rPr>
                      <w:rFonts w:hint="eastAsia"/>
                      <w:color w:val="auto"/>
                      <w:highlight w:val="none"/>
                    </w:rPr>
                    <w:t>等产尘点设局部抽风，选用</w:t>
                  </w:r>
                  <w:r>
                    <w:rPr>
                      <w:rFonts w:hint="eastAsia"/>
                      <w:color w:val="auto"/>
                      <w:highlight w:val="none"/>
                      <w:lang w:val="en-US" w:eastAsia="zh-CN"/>
                    </w:rPr>
                    <w:t>塑烧板除尘器</w:t>
                  </w:r>
                  <w:r>
                    <w:rPr>
                      <w:rFonts w:hint="eastAsia"/>
                      <w:color w:val="auto"/>
                      <w:highlight w:val="none"/>
                    </w:rPr>
                    <w:t>及离心风机，</w:t>
                  </w:r>
                  <w:r>
                    <w:rPr>
                      <w:rFonts w:hint="eastAsia"/>
                      <w:color w:val="auto"/>
                      <w:highlight w:val="none"/>
                      <w:lang w:val="en-US" w:eastAsia="zh-CN"/>
                    </w:rPr>
                    <w:t>处理风量：48000m</w:t>
                  </w:r>
                  <w:r>
                    <w:rPr>
                      <w:rFonts w:hint="eastAsia"/>
                      <w:color w:val="auto"/>
                      <w:highlight w:val="none"/>
                      <w:vertAlign w:val="superscript"/>
                      <w:lang w:val="en-US" w:eastAsia="zh-CN"/>
                    </w:rPr>
                    <w:t>3</w:t>
                  </w:r>
                  <w:r>
                    <w:rPr>
                      <w:rFonts w:hint="eastAsia"/>
                      <w:color w:val="auto"/>
                      <w:highlight w:val="none"/>
                      <w:lang w:val="en-US" w:eastAsia="zh-CN"/>
                    </w:rPr>
                    <w:t>/h，为Pc-3通风系统，</w:t>
                  </w:r>
                  <w:r>
                    <w:rPr>
                      <w:rFonts w:hint="eastAsia"/>
                      <w:color w:val="auto"/>
                      <w:highlight w:val="none"/>
                    </w:rPr>
                    <w:t>粉尘经收尘管道接入</w:t>
                  </w:r>
                  <w:r>
                    <w:rPr>
                      <w:rFonts w:hint="eastAsia"/>
                      <w:color w:val="auto"/>
                      <w:highlight w:val="none"/>
                      <w:lang w:val="en-US" w:eastAsia="zh-CN"/>
                    </w:rPr>
                    <w:t>塑烧板除尘器</w:t>
                  </w:r>
                  <w:r>
                    <w:rPr>
                      <w:rFonts w:hint="eastAsia"/>
                      <w:color w:val="auto"/>
                      <w:highlight w:val="none"/>
                    </w:rPr>
                    <w:t>，经处理后通过15m高排气筒(DA00</w:t>
                  </w:r>
                  <w:r>
                    <w:rPr>
                      <w:rFonts w:hint="eastAsia"/>
                      <w:color w:val="auto"/>
                      <w:highlight w:val="none"/>
                      <w:lang w:val="en-US" w:eastAsia="zh-CN"/>
                    </w:rPr>
                    <w:t>2</w:t>
                  </w:r>
                  <w:r>
                    <w:rPr>
                      <w:rFonts w:hint="eastAsia"/>
                      <w:color w:val="auto"/>
                      <w:highlight w:val="none"/>
                    </w:rPr>
                    <w:t>)排放。</w:t>
                  </w:r>
                </w:p>
                <w:p>
                  <w:pPr>
                    <w:pStyle w:val="35"/>
                    <w:snapToGrid/>
                    <w:contextualSpacing/>
                    <w:jc w:val="left"/>
                    <w:rPr>
                      <w:rFonts w:hint="default" w:eastAsia="宋体"/>
                      <w:color w:val="auto"/>
                      <w:highlight w:val="none"/>
                      <w:lang w:val="en-US" w:eastAsia="zh-CN"/>
                    </w:rPr>
                  </w:pPr>
                  <w:r>
                    <w:rPr>
                      <w:rFonts w:hint="eastAsia"/>
                      <w:color w:val="auto"/>
                      <w:highlight w:val="none"/>
                    </w:rPr>
                    <w:t>③</w:t>
                  </w:r>
                  <w:r>
                    <w:rPr>
                      <w:rFonts w:hint="eastAsia"/>
                      <w:color w:val="auto"/>
                      <w:highlight w:val="none"/>
                      <w:lang w:val="en-US" w:eastAsia="zh-CN"/>
                    </w:rPr>
                    <w:t>混矿库：在S-2~6、S-9、S-14号等输送机卸料点及西侧配料皮带秤卸料点设局部抽风，选用塑烧板除尘器及离心风机，处理风量：64000m</w:t>
                  </w:r>
                  <w:r>
                    <w:rPr>
                      <w:rFonts w:hint="eastAsia"/>
                      <w:color w:val="auto"/>
                      <w:highlight w:val="none"/>
                      <w:vertAlign w:val="superscript"/>
                      <w:lang w:val="en-US" w:eastAsia="zh-CN"/>
                    </w:rPr>
                    <w:t>3</w:t>
                  </w:r>
                  <w:r>
                    <w:rPr>
                      <w:rFonts w:hint="eastAsia"/>
                      <w:color w:val="auto"/>
                      <w:highlight w:val="none"/>
                      <w:lang w:val="en-US" w:eastAsia="zh-CN"/>
                    </w:rPr>
                    <w:t>/h，为Pc-1通风系统，</w:t>
                  </w:r>
                  <w:r>
                    <w:rPr>
                      <w:rFonts w:hint="eastAsia"/>
                      <w:color w:val="auto"/>
                      <w:highlight w:val="none"/>
                    </w:rPr>
                    <w:t>粉尘经收尘管道接入</w:t>
                  </w:r>
                  <w:r>
                    <w:rPr>
                      <w:rFonts w:hint="eastAsia"/>
                      <w:color w:val="auto"/>
                      <w:highlight w:val="none"/>
                      <w:lang w:val="en-US" w:eastAsia="zh-CN"/>
                    </w:rPr>
                    <w:t>塑烧板除尘器</w:t>
                  </w:r>
                  <w:r>
                    <w:rPr>
                      <w:rFonts w:hint="eastAsia"/>
                      <w:color w:val="auto"/>
                      <w:highlight w:val="none"/>
                    </w:rPr>
                    <w:t>，经处理后通过15m高排气筒(DA00</w:t>
                  </w:r>
                  <w:r>
                    <w:rPr>
                      <w:rFonts w:hint="eastAsia"/>
                      <w:color w:val="auto"/>
                      <w:highlight w:val="none"/>
                      <w:lang w:val="en-US" w:eastAsia="zh-CN"/>
                    </w:rPr>
                    <w:t>3</w:t>
                  </w:r>
                  <w:r>
                    <w:rPr>
                      <w:rFonts w:hint="eastAsia"/>
                      <w:color w:val="auto"/>
                      <w:highlight w:val="none"/>
                    </w:rPr>
                    <w:t>)排放</w:t>
                  </w:r>
                  <w:r>
                    <w:rPr>
                      <w:rFonts w:hint="eastAsia"/>
                      <w:color w:val="auto"/>
                      <w:highlight w:val="none"/>
                      <w:lang w:val="en-US" w:eastAsia="zh-CN"/>
                    </w:rPr>
                    <w:t>；在卸矿站4#胶带输送机，混矿库S-1、S-7~8、S-10、S-15等输送机卸料点及东侧配料皮带秤卸料点设局部</w:t>
                  </w:r>
                  <w:r>
                    <w:rPr>
                      <w:rFonts w:hint="eastAsia"/>
                      <w:color w:val="auto"/>
                      <w:highlight w:val="none"/>
                    </w:rPr>
                    <w:t>抽风</w:t>
                  </w:r>
                  <w:r>
                    <w:rPr>
                      <w:rFonts w:hint="eastAsia"/>
                      <w:color w:val="auto"/>
                      <w:highlight w:val="none"/>
                      <w:lang w:val="en-US" w:eastAsia="zh-CN"/>
                    </w:rPr>
                    <w:t>，选用塑烧板除尘器及离心风机，处理风量：75000m</w:t>
                  </w:r>
                  <w:r>
                    <w:rPr>
                      <w:rFonts w:hint="eastAsia"/>
                      <w:color w:val="auto"/>
                      <w:highlight w:val="none"/>
                      <w:vertAlign w:val="superscript"/>
                      <w:lang w:val="en-US" w:eastAsia="zh-CN"/>
                    </w:rPr>
                    <w:t>3</w:t>
                  </w:r>
                  <w:r>
                    <w:rPr>
                      <w:rFonts w:hint="eastAsia"/>
                      <w:color w:val="auto"/>
                      <w:highlight w:val="none"/>
                      <w:lang w:val="en-US" w:eastAsia="zh-CN"/>
                    </w:rPr>
                    <w:t>/h，为Pc-2通风系统，</w:t>
                  </w:r>
                  <w:r>
                    <w:rPr>
                      <w:rFonts w:hint="eastAsia"/>
                      <w:color w:val="auto"/>
                      <w:highlight w:val="none"/>
                    </w:rPr>
                    <w:t>粉尘经收尘管道接入</w:t>
                  </w:r>
                  <w:r>
                    <w:rPr>
                      <w:rFonts w:hint="eastAsia"/>
                      <w:color w:val="auto"/>
                      <w:highlight w:val="none"/>
                      <w:lang w:val="en-US" w:eastAsia="zh-CN"/>
                    </w:rPr>
                    <w:t>塑烧板除尘器</w:t>
                  </w:r>
                  <w:r>
                    <w:rPr>
                      <w:rFonts w:hint="eastAsia"/>
                      <w:color w:val="auto"/>
                      <w:highlight w:val="none"/>
                    </w:rPr>
                    <w:t>，经处理后通过15m高排气筒(DA00</w:t>
                  </w:r>
                  <w:r>
                    <w:rPr>
                      <w:rFonts w:hint="eastAsia"/>
                      <w:color w:val="auto"/>
                      <w:highlight w:val="none"/>
                      <w:lang w:val="en-US" w:eastAsia="zh-CN"/>
                    </w:rPr>
                    <w:t>4</w:t>
                  </w:r>
                  <w:r>
                    <w:rPr>
                      <w:rFonts w:hint="eastAsia"/>
                      <w:color w:val="auto"/>
                      <w:highlight w:val="none"/>
                    </w:rPr>
                    <w:t>)排放</w:t>
                  </w:r>
                  <w:r>
                    <w:rPr>
                      <w:rFonts w:hint="eastAsia"/>
                      <w:color w:val="auto"/>
                      <w:highlight w:val="none"/>
                      <w:lang w:val="en-US" w:eastAsia="zh-CN"/>
                    </w:rPr>
                    <w:t>。</w:t>
                  </w:r>
                </w:p>
                <w:p>
                  <w:pPr>
                    <w:pStyle w:val="35"/>
                    <w:snapToGrid/>
                    <w:contextualSpacing/>
                    <w:jc w:val="left"/>
                    <w:rPr>
                      <w:color w:val="auto"/>
                      <w:highlight w:val="none"/>
                    </w:rPr>
                  </w:pPr>
                  <w:r>
                    <w:rPr>
                      <w:rFonts w:hint="eastAsia"/>
                      <w:b/>
                      <w:bCs/>
                      <w:color w:val="auto"/>
                      <w:highlight w:val="none"/>
                    </w:rPr>
                    <w:t>无组织粉尘：</w:t>
                  </w:r>
                  <w:r>
                    <w:rPr>
                      <w:rFonts w:hint="eastAsia"/>
                      <w:color w:val="auto"/>
                      <w:highlight w:val="none"/>
                    </w:rPr>
                    <w:t>①</w:t>
                  </w:r>
                  <w:r>
                    <w:rPr>
                      <w:rFonts w:hint="eastAsia"/>
                      <w:color w:val="auto"/>
                      <w:highlight w:val="none"/>
                      <w:lang w:eastAsia="zh-CN"/>
                    </w:rPr>
                    <w:t>卸矿站</w:t>
                  </w:r>
                  <w:r>
                    <w:rPr>
                      <w:rFonts w:hint="eastAsia"/>
                      <w:color w:val="auto"/>
                      <w:highlight w:val="none"/>
                    </w:rPr>
                    <w:t>：</w:t>
                  </w:r>
                  <w:r>
                    <w:rPr>
                      <w:rFonts w:hint="eastAsia"/>
                      <w:color w:val="auto"/>
                      <w:highlight w:val="none"/>
                      <w:lang w:val="en-US" w:eastAsia="zh-CN"/>
                    </w:rPr>
                    <w:t>设计4套智能高压喷雾抑尘装置，由喷雾主机、电控箱、增压泵、蓄水箱、雾化喷嘴、供水管道及管件和自动控制系统等组成，为Yc-4~7系统</w:t>
                  </w:r>
                  <w:r>
                    <w:rPr>
                      <w:rFonts w:hint="eastAsia"/>
                      <w:color w:val="auto"/>
                      <w:highlight w:val="none"/>
                    </w:rPr>
                    <w:t>。</w:t>
                  </w:r>
                </w:p>
                <w:p>
                  <w:pPr>
                    <w:pStyle w:val="35"/>
                    <w:snapToGrid/>
                    <w:contextualSpacing/>
                    <w:jc w:val="left"/>
                    <w:rPr>
                      <w:color w:val="auto"/>
                      <w:highlight w:val="none"/>
                    </w:rPr>
                  </w:pPr>
                  <w:r>
                    <w:rPr>
                      <w:rFonts w:hint="eastAsia"/>
                      <w:color w:val="auto"/>
                      <w:highlight w:val="none"/>
                    </w:rPr>
                    <w:t>②</w:t>
                  </w:r>
                  <w:r>
                    <w:rPr>
                      <w:rFonts w:hint="eastAsia"/>
                      <w:color w:val="auto"/>
                      <w:highlight w:val="none"/>
                      <w:lang w:val="en-US" w:eastAsia="zh-CN"/>
                    </w:rPr>
                    <w:t>混矿库：中间料仓开口处设干雾抑尘，设计3套智能高压喷雾抑尘装置。高压喷雾抑尘装置由喷雾主机、电控箱、增压泵、蓄水箱、水质过滤装置、供水管道及管件和自动控制系统等组成，为Yc-1~3系统</w:t>
                  </w:r>
                  <w:r>
                    <w:rPr>
                      <w:rFonts w:hint="eastAsia"/>
                      <w:color w:val="auto"/>
                      <w:highlight w:val="none"/>
                    </w:rPr>
                    <w:t>。</w:t>
                  </w:r>
                </w:p>
                <w:p>
                  <w:pPr>
                    <w:pStyle w:val="35"/>
                    <w:snapToGrid/>
                    <w:contextualSpacing/>
                    <w:jc w:val="left"/>
                    <w:rPr>
                      <w:color w:val="auto"/>
                      <w:highlight w:val="none"/>
                    </w:rPr>
                  </w:pPr>
                  <w:r>
                    <w:rPr>
                      <w:rFonts w:hint="eastAsia"/>
                      <w:color w:val="auto"/>
                      <w:highlight w:val="none"/>
                    </w:rPr>
                    <w:t>③制样室</w:t>
                  </w:r>
                  <w:r>
                    <w:rPr>
                      <w:color w:val="auto"/>
                      <w:highlight w:val="none"/>
                    </w:rPr>
                    <w:t>的研磨机、标准筛不定期产生微量粉尘，设局部排风罩，选用滤筒净化一体机，平时根据情况开启，</w:t>
                  </w:r>
                  <w:r>
                    <w:rPr>
                      <w:rFonts w:hint="eastAsia"/>
                      <w:color w:val="auto"/>
                      <w:highlight w:val="none"/>
                    </w:rPr>
                    <w:t>经处理库内排放</w:t>
                  </w:r>
                  <w:r>
                    <w:rPr>
                      <w:color w:val="auto"/>
                      <w:highlight w:val="none"/>
                    </w:rPr>
                    <w:t>。</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 w:hRule="atLeast"/>
              </w:trPr>
              <w:tc>
                <w:tcPr>
                  <w:tcW w:w="568" w:type="pct"/>
                  <w:vMerge w:val="continue"/>
                  <w:vAlign w:val="center"/>
                </w:tcPr>
                <w:p>
                  <w:pPr>
                    <w:pStyle w:val="35"/>
                    <w:snapToGrid/>
                    <w:contextualSpacing/>
                    <w:rPr>
                      <w:color w:val="auto"/>
                      <w:highlight w:val="none"/>
                    </w:rPr>
                  </w:pPr>
                </w:p>
              </w:tc>
              <w:tc>
                <w:tcPr>
                  <w:tcW w:w="777" w:type="pct"/>
                  <w:gridSpan w:val="2"/>
                  <w:vAlign w:val="center"/>
                </w:tcPr>
                <w:p>
                  <w:pPr>
                    <w:pStyle w:val="35"/>
                    <w:snapToGrid/>
                    <w:contextualSpacing/>
                    <w:rPr>
                      <w:color w:val="auto"/>
                      <w:highlight w:val="none"/>
                    </w:rPr>
                  </w:pPr>
                  <w:r>
                    <w:rPr>
                      <w:rFonts w:hint="eastAsia"/>
                      <w:color w:val="auto"/>
                      <w:highlight w:val="none"/>
                    </w:rPr>
                    <w:t>噪声工程</w:t>
                  </w:r>
                </w:p>
              </w:tc>
              <w:tc>
                <w:tcPr>
                  <w:tcW w:w="2790" w:type="pct"/>
                  <w:vAlign w:val="center"/>
                </w:tcPr>
                <w:p>
                  <w:pPr>
                    <w:pStyle w:val="35"/>
                    <w:snapToGrid/>
                    <w:contextualSpacing/>
                    <w:jc w:val="left"/>
                    <w:rPr>
                      <w:color w:val="auto"/>
                      <w:highlight w:val="none"/>
                    </w:rPr>
                  </w:pPr>
                  <w:r>
                    <w:rPr>
                      <w:rFonts w:hint="eastAsia"/>
                      <w:color w:val="auto"/>
                      <w:highlight w:val="none"/>
                    </w:rPr>
                    <w:t>采取合理布局，隔声、减振、消声等措施。</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2" w:hRule="atLeast"/>
              </w:trPr>
              <w:tc>
                <w:tcPr>
                  <w:tcW w:w="568" w:type="pct"/>
                  <w:vMerge w:val="continue"/>
                  <w:vAlign w:val="center"/>
                </w:tcPr>
                <w:p>
                  <w:pPr>
                    <w:pStyle w:val="35"/>
                    <w:snapToGrid/>
                    <w:contextualSpacing/>
                    <w:rPr>
                      <w:color w:val="auto"/>
                      <w:highlight w:val="none"/>
                    </w:rPr>
                  </w:pPr>
                </w:p>
              </w:tc>
              <w:tc>
                <w:tcPr>
                  <w:tcW w:w="275" w:type="pct"/>
                  <w:vMerge w:val="restart"/>
                  <w:vAlign w:val="center"/>
                </w:tcPr>
                <w:p>
                  <w:pPr>
                    <w:pStyle w:val="35"/>
                    <w:snapToGrid/>
                    <w:contextualSpacing/>
                    <w:rPr>
                      <w:color w:val="auto"/>
                      <w:highlight w:val="none"/>
                    </w:rPr>
                  </w:pPr>
                  <w:r>
                    <w:rPr>
                      <w:rFonts w:hint="eastAsia"/>
                      <w:color w:val="auto"/>
                      <w:highlight w:val="none"/>
                    </w:rPr>
                    <w:t>固废</w:t>
                  </w:r>
                </w:p>
              </w:tc>
              <w:tc>
                <w:tcPr>
                  <w:tcW w:w="501" w:type="pct"/>
                  <w:vAlign w:val="center"/>
                </w:tcPr>
                <w:p>
                  <w:pPr>
                    <w:pStyle w:val="35"/>
                    <w:snapToGrid/>
                    <w:contextualSpacing/>
                    <w:rPr>
                      <w:color w:val="auto"/>
                      <w:highlight w:val="none"/>
                    </w:rPr>
                  </w:pPr>
                  <w:r>
                    <w:rPr>
                      <w:rFonts w:hint="eastAsia"/>
                      <w:color w:val="auto"/>
                      <w:highlight w:val="none"/>
                    </w:rPr>
                    <w:t>生活垃圾</w:t>
                  </w:r>
                </w:p>
              </w:tc>
              <w:tc>
                <w:tcPr>
                  <w:tcW w:w="2790" w:type="pct"/>
                  <w:vAlign w:val="center"/>
                </w:tcPr>
                <w:p>
                  <w:pPr>
                    <w:pStyle w:val="35"/>
                    <w:snapToGrid/>
                    <w:contextualSpacing/>
                    <w:jc w:val="left"/>
                    <w:rPr>
                      <w:color w:val="auto"/>
                      <w:highlight w:val="none"/>
                    </w:rPr>
                  </w:pPr>
                  <w:r>
                    <w:rPr>
                      <w:rFonts w:hint="eastAsia"/>
                      <w:color w:val="auto"/>
                      <w:highlight w:val="none"/>
                    </w:rPr>
                    <w:t>生活垃圾集中收集后交由环卫部门统一清运处置</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5" w:hRule="atLeast"/>
              </w:trPr>
              <w:tc>
                <w:tcPr>
                  <w:tcW w:w="568" w:type="pct"/>
                  <w:vMerge w:val="continue"/>
                  <w:vAlign w:val="center"/>
                </w:tcPr>
                <w:p>
                  <w:pPr>
                    <w:pStyle w:val="35"/>
                    <w:snapToGrid/>
                    <w:contextualSpacing/>
                    <w:rPr>
                      <w:color w:val="auto"/>
                      <w:highlight w:val="none"/>
                    </w:rPr>
                  </w:pPr>
                </w:p>
              </w:tc>
              <w:tc>
                <w:tcPr>
                  <w:tcW w:w="275" w:type="pct"/>
                  <w:vMerge w:val="continue"/>
                  <w:vAlign w:val="center"/>
                </w:tcPr>
                <w:p>
                  <w:pPr>
                    <w:pStyle w:val="35"/>
                    <w:snapToGrid/>
                    <w:contextualSpacing/>
                    <w:rPr>
                      <w:color w:val="auto"/>
                      <w:highlight w:val="none"/>
                    </w:rPr>
                  </w:pPr>
                </w:p>
              </w:tc>
              <w:tc>
                <w:tcPr>
                  <w:tcW w:w="501" w:type="pct"/>
                  <w:vAlign w:val="center"/>
                </w:tcPr>
                <w:p>
                  <w:pPr>
                    <w:pStyle w:val="35"/>
                    <w:snapToGrid/>
                    <w:contextualSpacing/>
                    <w:rPr>
                      <w:color w:val="auto"/>
                      <w:highlight w:val="none"/>
                    </w:rPr>
                  </w:pPr>
                  <w:r>
                    <w:rPr>
                      <w:rFonts w:hint="eastAsia"/>
                      <w:color w:val="auto"/>
                      <w:highlight w:val="none"/>
                    </w:rPr>
                    <w:t>一般固废</w:t>
                  </w:r>
                </w:p>
              </w:tc>
              <w:tc>
                <w:tcPr>
                  <w:tcW w:w="2790" w:type="pct"/>
                  <w:vAlign w:val="center"/>
                </w:tcPr>
                <w:p>
                  <w:pPr>
                    <w:pStyle w:val="35"/>
                    <w:snapToGrid/>
                    <w:contextualSpacing/>
                    <w:jc w:val="left"/>
                    <w:rPr>
                      <w:color w:val="auto"/>
                      <w:highlight w:val="none"/>
                    </w:rPr>
                  </w:pPr>
                  <w:r>
                    <w:rPr>
                      <w:rFonts w:hint="eastAsia"/>
                      <w:color w:val="auto"/>
                      <w:highlight w:val="none"/>
                    </w:rPr>
                    <w:t>沉淀池沉渣、除尘器收集粉尘作为原料返回生产；废滤芯收集后由厂家回收处置；设置1间一般固废暂存间，20.25m</w:t>
                  </w:r>
                  <w:r>
                    <w:rPr>
                      <w:rFonts w:hint="eastAsia"/>
                      <w:color w:val="auto"/>
                      <w:highlight w:val="none"/>
                      <w:vertAlign w:val="superscript"/>
                    </w:rPr>
                    <w:t>2</w:t>
                  </w:r>
                  <w:r>
                    <w:rPr>
                      <w:rFonts w:hint="eastAsia"/>
                      <w:color w:val="auto"/>
                      <w:highlight w:val="none"/>
                    </w:rPr>
                    <w:t>，位于</w:t>
                  </w:r>
                  <w:r>
                    <w:rPr>
                      <w:rFonts w:hint="eastAsia"/>
                      <w:color w:val="auto"/>
                      <w:highlight w:val="none"/>
                      <w:lang w:val="en-US" w:eastAsia="zh-CN"/>
                    </w:rPr>
                    <w:t>卸矿站东侧</w:t>
                  </w:r>
                  <w:r>
                    <w:rPr>
                      <w:rFonts w:hint="eastAsia"/>
                      <w:color w:val="auto"/>
                      <w:highlight w:val="none"/>
                    </w:rPr>
                    <w:t>。</w:t>
                  </w:r>
                </w:p>
              </w:tc>
              <w:tc>
                <w:tcPr>
                  <w:tcW w:w="862" w:type="pct"/>
                  <w:vAlign w:val="center"/>
                </w:tcPr>
                <w:p>
                  <w:pPr>
                    <w:pStyle w:val="35"/>
                    <w:snapToGrid/>
                    <w:contextualSpacing/>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2" w:hRule="atLeast"/>
              </w:trPr>
              <w:tc>
                <w:tcPr>
                  <w:tcW w:w="568" w:type="pct"/>
                  <w:vMerge w:val="continue"/>
                  <w:vAlign w:val="center"/>
                </w:tcPr>
                <w:p>
                  <w:pPr>
                    <w:pStyle w:val="35"/>
                    <w:snapToGrid/>
                    <w:contextualSpacing/>
                    <w:rPr>
                      <w:color w:val="auto"/>
                      <w:highlight w:val="none"/>
                    </w:rPr>
                  </w:pPr>
                </w:p>
              </w:tc>
              <w:tc>
                <w:tcPr>
                  <w:tcW w:w="275" w:type="pct"/>
                  <w:vMerge w:val="continue"/>
                  <w:textDirection w:val="tbRlV"/>
                  <w:vAlign w:val="center"/>
                </w:tcPr>
                <w:p>
                  <w:pPr>
                    <w:pStyle w:val="35"/>
                    <w:snapToGrid/>
                    <w:contextualSpacing/>
                    <w:rPr>
                      <w:color w:val="auto"/>
                      <w:highlight w:val="none"/>
                    </w:rPr>
                  </w:pPr>
                </w:p>
              </w:tc>
              <w:tc>
                <w:tcPr>
                  <w:tcW w:w="501" w:type="pct"/>
                  <w:vAlign w:val="center"/>
                </w:tcPr>
                <w:p>
                  <w:pPr>
                    <w:pStyle w:val="35"/>
                    <w:snapToGrid/>
                    <w:contextualSpacing/>
                    <w:rPr>
                      <w:color w:val="auto"/>
                      <w:highlight w:val="none"/>
                    </w:rPr>
                  </w:pPr>
                  <w:r>
                    <w:rPr>
                      <w:rFonts w:hint="eastAsia"/>
                      <w:color w:val="auto"/>
                      <w:highlight w:val="none"/>
                    </w:rPr>
                    <w:t>危险废物</w:t>
                  </w:r>
                </w:p>
              </w:tc>
              <w:tc>
                <w:tcPr>
                  <w:tcW w:w="2790" w:type="pct"/>
                  <w:vAlign w:val="center"/>
                </w:tcPr>
                <w:p>
                  <w:pPr>
                    <w:pStyle w:val="35"/>
                    <w:snapToGrid/>
                    <w:contextualSpacing/>
                    <w:jc w:val="left"/>
                    <w:rPr>
                      <w:color w:val="auto"/>
                      <w:highlight w:val="none"/>
                    </w:rPr>
                  </w:pPr>
                  <w:r>
                    <w:rPr>
                      <w:rFonts w:hint="eastAsia"/>
                      <w:color w:val="auto"/>
                      <w:highlight w:val="none"/>
                    </w:rPr>
                    <w:t>设置1间危险废物暂存间，20.25m</w:t>
                  </w:r>
                  <w:r>
                    <w:rPr>
                      <w:rFonts w:hint="eastAsia"/>
                      <w:color w:val="auto"/>
                      <w:highlight w:val="none"/>
                      <w:vertAlign w:val="superscript"/>
                    </w:rPr>
                    <w:t>2</w:t>
                  </w:r>
                  <w:r>
                    <w:rPr>
                      <w:rFonts w:hint="eastAsia"/>
                      <w:color w:val="auto"/>
                      <w:highlight w:val="none"/>
                    </w:rPr>
                    <w:t>，位于</w:t>
                  </w:r>
                  <w:r>
                    <w:rPr>
                      <w:rFonts w:hint="eastAsia"/>
                      <w:color w:val="auto"/>
                      <w:highlight w:val="none"/>
                      <w:lang w:val="en-US" w:eastAsia="zh-CN"/>
                    </w:rPr>
                    <w:t>卸矿站东侧</w:t>
                  </w:r>
                  <w:r>
                    <w:rPr>
                      <w:rFonts w:hint="eastAsia"/>
                      <w:color w:val="auto"/>
                      <w:highlight w:val="none"/>
                    </w:rPr>
                    <w:t>；废机油和废含油抹布采用</w:t>
                  </w:r>
                  <w:r>
                    <w:rPr>
                      <w:rFonts w:hint="eastAsia"/>
                      <w:color w:val="auto"/>
                      <w:highlight w:val="none"/>
                      <w:lang w:eastAsia="zh-CN"/>
                    </w:rPr>
                    <w:t>封闭</w:t>
                  </w:r>
                  <w:r>
                    <w:rPr>
                      <w:rFonts w:hint="eastAsia"/>
                      <w:color w:val="auto"/>
                      <w:highlight w:val="none"/>
                    </w:rPr>
                    <w:t>油桶集中收集后放置在托盘(托盘容积至少能够容纳存放容器总容积的10%)上，与废油桶暂存于危废暂存间，定期交由有资质的单位处置。</w:t>
                  </w:r>
                </w:p>
              </w:tc>
              <w:tc>
                <w:tcPr>
                  <w:tcW w:w="862" w:type="pct"/>
                  <w:vAlign w:val="center"/>
                </w:tcPr>
                <w:p>
                  <w:pPr>
                    <w:pStyle w:val="35"/>
                    <w:snapToGrid/>
                    <w:contextualSpacing/>
                    <w:rPr>
                      <w:color w:val="auto"/>
                      <w:highlight w:val="none"/>
                    </w:rPr>
                  </w:pPr>
                  <w:r>
                    <w:rPr>
                      <w:rFonts w:hint="eastAsia"/>
                      <w:color w:val="auto"/>
                      <w:highlight w:val="none"/>
                    </w:rPr>
                    <w:t>/</w:t>
                  </w:r>
                </w:p>
              </w:tc>
            </w:tr>
          </w:tbl>
          <w:p>
            <w:pPr>
              <w:pStyle w:val="30"/>
              <w:ind w:firstLine="0" w:firstLineChars="0"/>
              <w:rPr>
                <w:b/>
                <w:bCs/>
                <w:color w:val="auto"/>
                <w:highlight w:val="none"/>
              </w:rPr>
            </w:pPr>
          </w:p>
          <w:p>
            <w:pPr>
              <w:pStyle w:val="30"/>
              <w:ind w:firstLine="0" w:firstLineChars="0"/>
              <w:rPr>
                <w:b/>
                <w:bCs/>
                <w:color w:val="auto"/>
                <w:highlight w:val="none"/>
              </w:rPr>
            </w:pPr>
            <w:r>
              <w:rPr>
                <w:rFonts w:hint="eastAsia"/>
                <w:b/>
                <w:bCs/>
                <w:color w:val="auto"/>
                <w:highlight w:val="none"/>
              </w:rPr>
              <w:t>2.1.2.2主要产品方案</w:t>
            </w:r>
          </w:p>
          <w:p>
            <w:pPr>
              <w:pStyle w:val="30"/>
              <w:ind w:firstLine="464"/>
              <w:rPr>
                <w:color w:val="auto"/>
                <w:szCs w:val="28"/>
                <w:highlight w:val="none"/>
              </w:rPr>
            </w:pPr>
            <w:r>
              <w:rPr>
                <w:rFonts w:hint="eastAsia"/>
                <w:color w:val="auto"/>
                <w:spacing w:val="-4"/>
                <w:highlight w:val="none"/>
              </w:rPr>
              <w:t>本项目从海外购进的不同品位的铜精矿，在海关监管条件下按比例进行简单物理混配，生产出符合海关进口标准的铜精矿，报关出区至宁德40万吨铜冶炼基地项目作为原料使用</w:t>
            </w:r>
            <w:r>
              <w:rPr>
                <w:rFonts w:hint="eastAsia"/>
                <w:color w:val="auto"/>
                <w:szCs w:val="28"/>
                <w:highlight w:val="none"/>
              </w:rPr>
              <w:t>。本项目年混矿规模为100万吨（湿重），铜精矿产品符合海关进口标准及冶炼厂入炉要求的标准铜精矿原料。</w:t>
            </w:r>
          </w:p>
          <w:p>
            <w:pPr>
              <w:pStyle w:val="30"/>
              <w:ind w:firstLine="480"/>
              <w:rPr>
                <w:color w:val="auto"/>
                <w:highlight w:val="none"/>
              </w:rPr>
            </w:pPr>
            <w:r>
              <w:rPr>
                <w:rFonts w:hint="eastAsia"/>
                <w:color w:val="auto"/>
                <w:szCs w:val="28"/>
                <w:highlight w:val="none"/>
              </w:rPr>
              <w:t>进口铜精矿中有限量要求的有害元素包括铅、砷、氟、镉、汞，根据《重金属精矿产品中有害元素的限量规范》（GB20424-2006）和《关于公布进口铜精矿中有毒有害元素限量的公告》（2017年第106号），进口铜精矿中有害元素限量的具体要求是铅（Pb）不得大于6.00％，砷（As）不得大于0.50％，氟（F）不得大于0.10％，镉（Cd）不得大于0.05％，汞（Hg）不得大于0.01％。铜精矿中铅、砷、氟、镉、汞元素的化学成分仲裁分析方法按GB/T3884.5、GB/T3884.6、GB/T3884.7、GB/T3884.9、GB/T3884.11的规定进行。本项目混合后产品按以上要求严格控制</w:t>
            </w:r>
            <w:r>
              <w:rPr>
                <w:rFonts w:hint="eastAsia"/>
                <w:color w:val="auto"/>
                <w:highlight w:val="none"/>
              </w:rPr>
              <w:t>。</w:t>
            </w:r>
          </w:p>
          <w:p>
            <w:pPr>
              <w:pStyle w:val="30"/>
              <w:ind w:firstLine="480"/>
              <w:rPr>
                <w:color w:val="auto"/>
                <w:szCs w:val="28"/>
                <w:highlight w:val="none"/>
              </w:rPr>
            </w:pPr>
            <w:r>
              <w:rPr>
                <w:color w:val="auto"/>
                <w:szCs w:val="28"/>
                <w:highlight w:val="none"/>
              </w:rPr>
              <w:t>根据《铜精矿》（YS/T318-20</w:t>
            </w:r>
            <w:r>
              <w:rPr>
                <w:rFonts w:hint="eastAsia"/>
                <w:color w:val="auto"/>
                <w:szCs w:val="28"/>
                <w:highlight w:val="none"/>
              </w:rPr>
              <w:t>23</w:t>
            </w:r>
            <w:r>
              <w:rPr>
                <w:color w:val="auto"/>
                <w:szCs w:val="28"/>
                <w:highlight w:val="none"/>
              </w:rPr>
              <w:t>）铜精矿化学成分见下表</w:t>
            </w:r>
            <w:r>
              <w:rPr>
                <w:rFonts w:hint="eastAsia"/>
                <w:color w:val="auto"/>
                <w:szCs w:val="28"/>
                <w:highlight w:val="none"/>
              </w:rPr>
              <w:t>，本项目产品按不低于四级控制</w:t>
            </w:r>
            <w:r>
              <w:rPr>
                <w:color w:val="auto"/>
                <w:szCs w:val="28"/>
                <w:highlight w:val="none"/>
              </w:rPr>
              <w:t>：</w:t>
            </w:r>
          </w:p>
          <w:p>
            <w:pPr>
              <w:pStyle w:val="33"/>
              <w:rPr>
                <w:color w:val="auto"/>
                <w:highlight w:val="none"/>
              </w:rPr>
            </w:pPr>
            <w:r>
              <w:rPr>
                <w:rFonts w:hint="eastAsia"/>
                <w:color w:val="auto"/>
                <w:highlight w:val="none"/>
              </w:rPr>
              <w:t>表2.1.3  铜精矿化学成分一览表</w:t>
            </w:r>
          </w:p>
          <w:tbl>
            <w:tblPr>
              <w:tblStyle w:val="3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8"/>
              <w:gridCol w:w="800"/>
              <w:gridCol w:w="800"/>
              <w:gridCol w:w="961"/>
              <w:gridCol w:w="753"/>
              <w:gridCol w:w="967"/>
              <w:gridCol w:w="712"/>
              <w:gridCol w:w="712"/>
              <w:gridCol w:w="788"/>
              <w:gridCol w:w="755"/>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455" w:type="pct"/>
                  <w:vMerge w:val="restart"/>
                  <w:vAlign w:val="center"/>
                </w:tcPr>
                <w:p>
                  <w:pPr>
                    <w:adjustRightInd w:val="0"/>
                    <w:snapToGrid w:val="0"/>
                    <w:jc w:val="center"/>
                    <w:rPr>
                      <w:color w:val="auto"/>
                      <w:szCs w:val="21"/>
                      <w:highlight w:val="none"/>
                    </w:rPr>
                  </w:pPr>
                  <w:r>
                    <w:rPr>
                      <w:rFonts w:hint="eastAsia"/>
                      <w:color w:val="auto"/>
                      <w:szCs w:val="21"/>
                      <w:highlight w:val="none"/>
                    </w:rPr>
                    <w:t>品级</w:t>
                  </w:r>
                </w:p>
              </w:tc>
              <w:tc>
                <w:tcPr>
                  <w:tcW w:w="4544" w:type="pct"/>
                  <w:gridSpan w:val="10"/>
                  <w:vAlign w:val="center"/>
                </w:tcPr>
                <w:p>
                  <w:pPr>
                    <w:adjustRightInd w:val="0"/>
                    <w:snapToGrid w:val="0"/>
                    <w:jc w:val="center"/>
                    <w:rPr>
                      <w:color w:val="auto"/>
                      <w:szCs w:val="21"/>
                      <w:highlight w:val="none"/>
                    </w:rPr>
                  </w:pPr>
                  <w:r>
                    <w:rPr>
                      <w:rFonts w:hint="eastAsia"/>
                      <w:color w:val="auto"/>
                      <w:szCs w:val="21"/>
                      <w:highlight w:val="none"/>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455" w:type="pct"/>
                  <w:vMerge w:val="continue"/>
                  <w:vAlign w:val="center"/>
                </w:tcPr>
                <w:p>
                  <w:pPr>
                    <w:adjustRightInd w:val="0"/>
                    <w:snapToGrid w:val="0"/>
                    <w:jc w:val="center"/>
                    <w:rPr>
                      <w:color w:val="auto"/>
                      <w:szCs w:val="21"/>
                      <w:highlight w:val="none"/>
                    </w:rPr>
                  </w:pPr>
                </w:p>
              </w:tc>
              <w:tc>
                <w:tcPr>
                  <w:tcW w:w="456" w:type="pct"/>
                  <w:vMerge w:val="restart"/>
                  <w:vAlign w:val="center"/>
                </w:tcPr>
                <w:p>
                  <w:pPr>
                    <w:adjustRightInd w:val="0"/>
                    <w:snapToGrid w:val="0"/>
                    <w:jc w:val="center"/>
                    <w:rPr>
                      <w:color w:val="auto"/>
                      <w:szCs w:val="21"/>
                      <w:highlight w:val="none"/>
                    </w:rPr>
                  </w:pPr>
                  <w:r>
                    <w:rPr>
                      <w:rFonts w:hint="eastAsia"/>
                      <w:color w:val="auto"/>
                      <w:szCs w:val="21"/>
                      <w:highlight w:val="none"/>
                    </w:rPr>
                    <w:t>Cu不小于</w:t>
                  </w:r>
                </w:p>
              </w:tc>
              <w:tc>
                <w:tcPr>
                  <w:tcW w:w="4087" w:type="pct"/>
                  <w:gridSpan w:val="9"/>
                  <w:vAlign w:val="center"/>
                </w:tcPr>
                <w:p>
                  <w:pPr>
                    <w:adjustRightInd w:val="0"/>
                    <w:snapToGrid w:val="0"/>
                    <w:jc w:val="center"/>
                    <w:rPr>
                      <w:color w:val="auto"/>
                      <w:szCs w:val="21"/>
                      <w:highlight w:val="none"/>
                    </w:rPr>
                  </w:pPr>
                  <w:r>
                    <w:rPr>
                      <w:rFonts w:hint="eastAsia"/>
                      <w:color w:val="auto"/>
                      <w:szCs w:val="21"/>
                      <w:highlight w:val="none"/>
                    </w:rPr>
                    <w:t>杂质含量不大于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455" w:type="pct"/>
                  <w:vMerge w:val="continue"/>
                  <w:vAlign w:val="center"/>
                </w:tcPr>
                <w:p>
                  <w:pPr>
                    <w:adjustRightInd w:val="0"/>
                    <w:snapToGrid w:val="0"/>
                    <w:jc w:val="center"/>
                    <w:rPr>
                      <w:color w:val="auto"/>
                      <w:szCs w:val="21"/>
                      <w:highlight w:val="none"/>
                    </w:rPr>
                  </w:pPr>
                </w:p>
              </w:tc>
              <w:tc>
                <w:tcPr>
                  <w:tcW w:w="456" w:type="pct"/>
                  <w:vMerge w:val="continue"/>
                  <w:vAlign w:val="center"/>
                </w:tcPr>
                <w:p>
                  <w:pPr>
                    <w:adjustRightInd w:val="0"/>
                    <w:snapToGrid w:val="0"/>
                    <w:jc w:val="center"/>
                    <w:rPr>
                      <w:color w:val="auto"/>
                      <w:szCs w:val="21"/>
                      <w:highlight w:val="none"/>
                    </w:rPr>
                  </w:pPr>
                </w:p>
              </w:tc>
              <w:tc>
                <w:tcPr>
                  <w:tcW w:w="456" w:type="pct"/>
                  <w:vAlign w:val="center"/>
                </w:tcPr>
                <w:p>
                  <w:pPr>
                    <w:adjustRightInd w:val="0"/>
                    <w:snapToGrid w:val="0"/>
                    <w:jc w:val="center"/>
                    <w:rPr>
                      <w:color w:val="auto"/>
                      <w:szCs w:val="21"/>
                      <w:highlight w:val="none"/>
                    </w:rPr>
                  </w:pPr>
                  <w:r>
                    <w:rPr>
                      <w:rFonts w:hint="eastAsia"/>
                      <w:color w:val="auto"/>
                      <w:szCs w:val="21"/>
                      <w:highlight w:val="none"/>
                    </w:rPr>
                    <w:t>As</w:t>
                  </w:r>
                </w:p>
              </w:tc>
              <w:tc>
                <w:tcPr>
                  <w:tcW w:w="547" w:type="pct"/>
                  <w:vAlign w:val="center"/>
                </w:tcPr>
                <w:p>
                  <w:pPr>
                    <w:adjustRightInd w:val="0"/>
                    <w:snapToGrid w:val="0"/>
                    <w:jc w:val="center"/>
                    <w:rPr>
                      <w:color w:val="auto"/>
                      <w:szCs w:val="21"/>
                      <w:highlight w:val="none"/>
                    </w:rPr>
                  </w:pPr>
                  <w:r>
                    <w:rPr>
                      <w:rFonts w:hint="eastAsia"/>
                      <w:color w:val="auto"/>
                      <w:szCs w:val="21"/>
                      <w:highlight w:val="none"/>
                    </w:rPr>
                    <w:t>Pb+Zn</w:t>
                  </w:r>
                </w:p>
              </w:tc>
              <w:tc>
                <w:tcPr>
                  <w:tcW w:w="429" w:type="pct"/>
                  <w:vAlign w:val="center"/>
                </w:tcPr>
                <w:p>
                  <w:pPr>
                    <w:adjustRightInd w:val="0"/>
                    <w:snapToGrid w:val="0"/>
                    <w:jc w:val="center"/>
                    <w:rPr>
                      <w:color w:val="auto"/>
                      <w:szCs w:val="21"/>
                      <w:highlight w:val="none"/>
                    </w:rPr>
                  </w:pPr>
                  <w:r>
                    <w:rPr>
                      <w:rFonts w:hint="eastAsia"/>
                      <w:color w:val="auto"/>
                      <w:szCs w:val="21"/>
                      <w:highlight w:val="none"/>
                    </w:rPr>
                    <w:t>MgO</w:t>
                  </w:r>
                </w:p>
              </w:tc>
              <w:tc>
                <w:tcPr>
                  <w:tcW w:w="550" w:type="pct"/>
                  <w:vAlign w:val="center"/>
                </w:tcPr>
                <w:p>
                  <w:pPr>
                    <w:adjustRightInd w:val="0"/>
                    <w:snapToGrid w:val="0"/>
                    <w:jc w:val="center"/>
                    <w:rPr>
                      <w:color w:val="auto"/>
                      <w:szCs w:val="21"/>
                      <w:highlight w:val="none"/>
                    </w:rPr>
                  </w:pPr>
                  <w:r>
                    <w:rPr>
                      <w:rFonts w:hint="eastAsia"/>
                      <w:color w:val="auto"/>
                      <w:szCs w:val="21"/>
                      <w:highlight w:val="none"/>
                    </w:rPr>
                    <w:t>Bi+Sb</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Cl</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Pb*</w:t>
                  </w:r>
                </w:p>
              </w:tc>
              <w:tc>
                <w:tcPr>
                  <w:tcW w:w="449" w:type="pct"/>
                  <w:vAlign w:val="center"/>
                </w:tcPr>
                <w:p>
                  <w:pPr>
                    <w:adjustRightInd w:val="0"/>
                    <w:snapToGrid w:val="0"/>
                    <w:jc w:val="center"/>
                    <w:rPr>
                      <w:color w:val="auto"/>
                      <w:szCs w:val="21"/>
                      <w:highlight w:val="none"/>
                    </w:rPr>
                  </w:pPr>
                  <w:r>
                    <w:rPr>
                      <w:rFonts w:hint="eastAsia"/>
                      <w:color w:val="auto"/>
                      <w:szCs w:val="21"/>
                      <w:highlight w:val="none"/>
                    </w:rPr>
                    <w:t>Hg*</w:t>
                  </w:r>
                </w:p>
              </w:tc>
              <w:tc>
                <w:tcPr>
                  <w:tcW w:w="430" w:type="pct"/>
                  <w:vAlign w:val="center"/>
                </w:tcPr>
                <w:p>
                  <w:pPr>
                    <w:adjustRightInd w:val="0"/>
                    <w:snapToGrid w:val="0"/>
                    <w:jc w:val="center"/>
                    <w:rPr>
                      <w:color w:val="auto"/>
                      <w:szCs w:val="21"/>
                      <w:highlight w:val="none"/>
                    </w:rPr>
                  </w:pPr>
                  <w:r>
                    <w:rPr>
                      <w:rFonts w:hint="eastAsia"/>
                      <w:color w:val="auto"/>
                      <w:szCs w:val="21"/>
                      <w:highlight w:val="none"/>
                    </w:rPr>
                    <w:t>F*</w:t>
                  </w:r>
                </w:p>
              </w:tc>
              <w:tc>
                <w:tcPr>
                  <w:tcW w:w="410" w:type="pct"/>
                  <w:vAlign w:val="center"/>
                </w:tcPr>
                <w:p>
                  <w:pPr>
                    <w:adjustRightInd w:val="0"/>
                    <w:snapToGrid w:val="0"/>
                    <w:jc w:val="center"/>
                    <w:rPr>
                      <w:color w:val="auto"/>
                      <w:szCs w:val="21"/>
                      <w:highlight w:val="none"/>
                    </w:rPr>
                  </w:pPr>
                  <w:r>
                    <w:rPr>
                      <w:rFonts w:hint="eastAsia"/>
                      <w:color w:val="auto"/>
                      <w:szCs w:val="21"/>
                      <w:highlight w:val="none"/>
                    </w:rPr>
                    <w:t>Cd*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455" w:type="pct"/>
                  <w:vAlign w:val="center"/>
                </w:tcPr>
                <w:p>
                  <w:pPr>
                    <w:adjustRightInd w:val="0"/>
                    <w:snapToGrid w:val="0"/>
                    <w:jc w:val="center"/>
                    <w:rPr>
                      <w:color w:val="auto"/>
                      <w:szCs w:val="21"/>
                      <w:highlight w:val="none"/>
                    </w:rPr>
                  </w:pPr>
                  <w:r>
                    <w:rPr>
                      <w:rFonts w:hint="eastAsia"/>
                      <w:color w:val="auto"/>
                      <w:szCs w:val="21"/>
                      <w:highlight w:val="none"/>
                    </w:rPr>
                    <w:t>一级</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26</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0.18</w:t>
                  </w:r>
                </w:p>
              </w:tc>
              <w:tc>
                <w:tcPr>
                  <w:tcW w:w="547" w:type="pct"/>
                  <w:vAlign w:val="center"/>
                </w:tcPr>
                <w:p>
                  <w:pPr>
                    <w:adjustRightInd w:val="0"/>
                    <w:snapToGrid w:val="0"/>
                    <w:jc w:val="center"/>
                    <w:rPr>
                      <w:color w:val="auto"/>
                      <w:szCs w:val="21"/>
                      <w:highlight w:val="none"/>
                    </w:rPr>
                  </w:pPr>
                  <w:r>
                    <w:rPr>
                      <w:rFonts w:hint="eastAsia"/>
                      <w:color w:val="auto"/>
                      <w:szCs w:val="21"/>
                      <w:highlight w:val="none"/>
                    </w:rPr>
                    <w:t>2.00</w:t>
                  </w:r>
                </w:p>
              </w:tc>
              <w:tc>
                <w:tcPr>
                  <w:tcW w:w="429" w:type="pct"/>
                  <w:vAlign w:val="center"/>
                </w:tcPr>
                <w:p>
                  <w:pPr>
                    <w:adjustRightInd w:val="0"/>
                    <w:snapToGrid w:val="0"/>
                    <w:jc w:val="center"/>
                    <w:rPr>
                      <w:color w:val="auto"/>
                      <w:szCs w:val="21"/>
                      <w:highlight w:val="none"/>
                    </w:rPr>
                  </w:pPr>
                  <w:r>
                    <w:rPr>
                      <w:rFonts w:hint="eastAsia"/>
                      <w:color w:val="auto"/>
                      <w:szCs w:val="21"/>
                      <w:highlight w:val="none"/>
                    </w:rPr>
                    <w:t>1</w:t>
                  </w:r>
                </w:p>
              </w:tc>
              <w:tc>
                <w:tcPr>
                  <w:tcW w:w="550" w:type="pct"/>
                  <w:vAlign w:val="center"/>
                </w:tcPr>
                <w:p>
                  <w:pPr>
                    <w:adjustRightInd w:val="0"/>
                    <w:snapToGrid w:val="0"/>
                    <w:jc w:val="center"/>
                    <w:rPr>
                      <w:color w:val="auto"/>
                      <w:szCs w:val="21"/>
                      <w:highlight w:val="none"/>
                    </w:rPr>
                  </w:pPr>
                  <w:r>
                    <w:rPr>
                      <w:rFonts w:hint="eastAsia"/>
                      <w:color w:val="auto"/>
                      <w:szCs w:val="21"/>
                      <w:highlight w:val="none"/>
                    </w:rPr>
                    <w:t>0.15</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0.10</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6.0</w:t>
                  </w:r>
                </w:p>
              </w:tc>
              <w:tc>
                <w:tcPr>
                  <w:tcW w:w="449" w:type="pct"/>
                  <w:vAlign w:val="center"/>
                </w:tcPr>
                <w:p>
                  <w:pPr>
                    <w:adjustRightInd w:val="0"/>
                    <w:snapToGrid w:val="0"/>
                    <w:jc w:val="center"/>
                    <w:rPr>
                      <w:color w:val="auto"/>
                      <w:szCs w:val="21"/>
                      <w:highlight w:val="none"/>
                    </w:rPr>
                  </w:pPr>
                  <w:r>
                    <w:rPr>
                      <w:rFonts w:hint="eastAsia"/>
                      <w:color w:val="auto"/>
                      <w:szCs w:val="21"/>
                      <w:highlight w:val="none"/>
                    </w:rPr>
                    <w:t>0.01</w:t>
                  </w:r>
                </w:p>
              </w:tc>
              <w:tc>
                <w:tcPr>
                  <w:tcW w:w="430" w:type="pct"/>
                  <w:vAlign w:val="center"/>
                </w:tcPr>
                <w:p>
                  <w:pPr>
                    <w:adjustRightInd w:val="0"/>
                    <w:snapToGrid w:val="0"/>
                    <w:jc w:val="center"/>
                    <w:rPr>
                      <w:color w:val="auto"/>
                      <w:szCs w:val="21"/>
                      <w:highlight w:val="none"/>
                    </w:rPr>
                  </w:pPr>
                  <w:r>
                    <w:rPr>
                      <w:rFonts w:hint="eastAsia"/>
                      <w:color w:val="auto"/>
                      <w:szCs w:val="21"/>
                      <w:highlight w:val="none"/>
                    </w:rPr>
                    <w:t>0.10</w:t>
                  </w:r>
                </w:p>
              </w:tc>
              <w:tc>
                <w:tcPr>
                  <w:tcW w:w="410" w:type="pct"/>
                  <w:vAlign w:val="center"/>
                </w:tcPr>
                <w:p>
                  <w:pPr>
                    <w:adjustRightInd w:val="0"/>
                    <w:snapToGrid w:val="0"/>
                    <w:jc w:val="center"/>
                    <w:rPr>
                      <w:color w:val="auto"/>
                      <w:szCs w:val="21"/>
                      <w:highlight w:val="none"/>
                    </w:rPr>
                  </w:pPr>
                  <w:r>
                    <w:rPr>
                      <w:rFonts w:hint="eastAsia"/>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455" w:type="pct"/>
                  <w:vAlign w:val="center"/>
                </w:tcPr>
                <w:p>
                  <w:pPr>
                    <w:adjustRightInd w:val="0"/>
                    <w:snapToGrid w:val="0"/>
                    <w:jc w:val="center"/>
                    <w:rPr>
                      <w:color w:val="auto"/>
                      <w:szCs w:val="21"/>
                      <w:highlight w:val="none"/>
                    </w:rPr>
                  </w:pPr>
                  <w:r>
                    <w:rPr>
                      <w:rFonts w:hint="eastAsia"/>
                      <w:color w:val="auto"/>
                      <w:szCs w:val="21"/>
                      <w:highlight w:val="none"/>
                    </w:rPr>
                    <w:t>二级</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20</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0.23</w:t>
                  </w:r>
                </w:p>
              </w:tc>
              <w:tc>
                <w:tcPr>
                  <w:tcW w:w="547" w:type="pct"/>
                  <w:vAlign w:val="center"/>
                </w:tcPr>
                <w:p>
                  <w:pPr>
                    <w:adjustRightInd w:val="0"/>
                    <w:snapToGrid w:val="0"/>
                    <w:jc w:val="center"/>
                    <w:rPr>
                      <w:color w:val="auto"/>
                      <w:szCs w:val="21"/>
                      <w:highlight w:val="none"/>
                    </w:rPr>
                  </w:pPr>
                  <w:r>
                    <w:rPr>
                      <w:rFonts w:hint="eastAsia"/>
                      <w:color w:val="auto"/>
                      <w:szCs w:val="21"/>
                      <w:highlight w:val="none"/>
                    </w:rPr>
                    <w:t>4.50</w:t>
                  </w:r>
                </w:p>
              </w:tc>
              <w:tc>
                <w:tcPr>
                  <w:tcW w:w="429" w:type="pct"/>
                  <w:vAlign w:val="center"/>
                </w:tcPr>
                <w:p>
                  <w:pPr>
                    <w:adjustRightInd w:val="0"/>
                    <w:snapToGrid w:val="0"/>
                    <w:jc w:val="center"/>
                    <w:rPr>
                      <w:color w:val="auto"/>
                      <w:szCs w:val="21"/>
                      <w:highlight w:val="none"/>
                    </w:rPr>
                  </w:pPr>
                  <w:r>
                    <w:rPr>
                      <w:rFonts w:hint="eastAsia"/>
                      <w:color w:val="auto"/>
                      <w:szCs w:val="21"/>
                      <w:highlight w:val="none"/>
                    </w:rPr>
                    <w:t>2</w:t>
                  </w:r>
                </w:p>
              </w:tc>
              <w:tc>
                <w:tcPr>
                  <w:tcW w:w="550" w:type="pct"/>
                  <w:vAlign w:val="center"/>
                </w:tcPr>
                <w:p>
                  <w:pPr>
                    <w:adjustRightInd w:val="0"/>
                    <w:snapToGrid w:val="0"/>
                    <w:jc w:val="center"/>
                    <w:rPr>
                      <w:color w:val="auto"/>
                      <w:szCs w:val="21"/>
                      <w:highlight w:val="none"/>
                    </w:rPr>
                  </w:pPr>
                  <w:r>
                    <w:rPr>
                      <w:rFonts w:hint="eastAsia"/>
                      <w:color w:val="auto"/>
                      <w:szCs w:val="21"/>
                      <w:highlight w:val="none"/>
                    </w:rPr>
                    <w:t>0.20</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0.16</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6.0</w:t>
                  </w:r>
                </w:p>
              </w:tc>
              <w:tc>
                <w:tcPr>
                  <w:tcW w:w="449" w:type="pct"/>
                  <w:vAlign w:val="center"/>
                </w:tcPr>
                <w:p>
                  <w:pPr>
                    <w:adjustRightInd w:val="0"/>
                    <w:snapToGrid w:val="0"/>
                    <w:jc w:val="center"/>
                    <w:rPr>
                      <w:color w:val="auto"/>
                      <w:szCs w:val="21"/>
                      <w:highlight w:val="none"/>
                    </w:rPr>
                  </w:pPr>
                  <w:r>
                    <w:rPr>
                      <w:rFonts w:hint="eastAsia"/>
                      <w:color w:val="auto"/>
                      <w:szCs w:val="21"/>
                      <w:highlight w:val="none"/>
                    </w:rPr>
                    <w:t>0.01</w:t>
                  </w:r>
                </w:p>
              </w:tc>
              <w:tc>
                <w:tcPr>
                  <w:tcW w:w="430" w:type="pct"/>
                  <w:vAlign w:val="center"/>
                </w:tcPr>
                <w:p>
                  <w:pPr>
                    <w:adjustRightInd w:val="0"/>
                    <w:snapToGrid w:val="0"/>
                    <w:jc w:val="center"/>
                    <w:rPr>
                      <w:color w:val="auto"/>
                      <w:szCs w:val="21"/>
                      <w:highlight w:val="none"/>
                    </w:rPr>
                  </w:pPr>
                  <w:r>
                    <w:rPr>
                      <w:rFonts w:hint="eastAsia"/>
                      <w:color w:val="auto"/>
                      <w:szCs w:val="21"/>
                      <w:highlight w:val="none"/>
                    </w:rPr>
                    <w:t>0.10</w:t>
                  </w:r>
                </w:p>
              </w:tc>
              <w:tc>
                <w:tcPr>
                  <w:tcW w:w="410" w:type="pct"/>
                  <w:vAlign w:val="center"/>
                </w:tcPr>
                <w:p>
                  <w:pPr>
                    <w:adjustRightInd w:val="0"/>
                    <w:snapToGrid w:val="0"/>
                    <w:jc w:val="center"/>
                    <w:rPr>
                      <w:color w:val="auto"/>
                      <w:szCs w:val="21"/>
                      <w:highlight w:val="none"/>
                    </w:rPr>
                  </w:pPr>
                  <w:r>
                    <w:rPr>
                      <w:rFonts w:hint="eastAsia"/>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455" w:type="pct"/>
                  <w:vAlign w:val="center"/>
                </w:tcPr>
                <w:p>
                  <w:pPr>
                    <w:adjustRightInd w:val="0"/>
                    <w:snapToGrid w:val="0"/>
                    <w:jc w:val="center"/>
                    <w:rPr>
                      <w:color w:val="auto"/>
                      <w:szCs w:val="21"/>
                      <w:highlight w:val="none"/>
                    </w:rPr>
                  </w:pPr>
                  <w:r>
                    <w:rPr>
                      <w:rFonts w:hint="eastAsia"/>
                      <w:color w:val="auto"/>
                      <w:szCs w:val="21"/>
                      <w:highlight w:val="none"/>
                    </w:rPr>
                    <w:t>三级</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16</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0.30</w:t>
                  </w:r>
                </w:p>
              </w:tc>
              <w:tc>
                <w:tcPr>
                  <w:tcW w:w="547" w:type="pct"/>
                  <w:vAlign w:val="center"/>
                </w:tcPr>
                <w:p>
                  <w:pPr>
                    <w:adjustRightInd w:val="0"/>
                    <w:snapToGrid w:val="0"/>
                    <w:jc w:val="center"/>
                    <w:rPr>
                      <w:color w:val="auto"/>
                      <w:szCs w:val="21"/>
                      <w:highlight w:val="none"/>
                    </w:rPr>
                  </w:pPr>
                  <w:r>
                    <w:rPr>
                      <w:rFonts w:hint="eastAsia"/>
                      <w:color w:val="auto"/>
                      <w:szCs w:val="21"/>
                      <w:highlight w:val="none"/>
                    </w:rPr>
                    <w:t>6.50</w:t>
                  </w:r>
                </w:p>
              </w:tc>
              <w:tc>
                <w:tcPr>
                  <w:tcW w:w="429" w:type="pct"/>
                  <w:vAlign w:val="center"/>
                </w:tcPr>
                <w:p>
                  <w:pPr>
                    <w:adjustRightInd w:val="0"/>
                    <w:snapToGrid w:val="0"/>
                    <w:jc w:val="center"/>
                    <w:rPr>
                      <w:color w:val="auto"/>
                      <w:szCs w:val="21"/>
                      <w:highlight w:val="none"/>
                    </w:rPr>
                  </w:pPr>
                  <w:r>
                    <w:rPr>
                      <w:rFonts w:hint="eastAsia"/>
                      <w:color w:val="auto"/>
                      <w:szCs w:val="21"/>
                      <w:highlight w:val="none"/>
                    </w:rPr>
                    <w:t>3</w:t>
                  </w:r>
                </w:p>
              </w:tc>
              <w:tc>
                <w:tcPr>
                  <w:tcW w:w="550" w:type="pct"/>
                  <w:vAlign w:val="center"/>
                </w:tcPr>
                <w:p>
                  <w:pPr>
                    <w:adjustRightInd w:val="0"/>
                    <w:snapToGrid w:val="0"/>
                    <w:jc w:val="center"/>
                    <w:rPr>
                      <w:color w:val="auto"/>
                      <w:szCs w:val="21"/>
                      <w:highlight w:val="none"/>
                    </w:rPr>
                  </w:pPr>
                  <w:r>
                    <w:rPr>
                      <w:rFonts w:hint="eastAsia"/>
                      <w:color w:val="auto"/>
                      <w:szCs w:val="21"/>
                      <w:highlight w:val="none"/>
                    </w:rPr>
                    <w:t>0.30</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0.24</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6.0</w:t>
                  </w:r>
                </w:p>
              </w:tc>
              <w:tc>
                <w:tcPr>
                  <w:tcW w:w="449" w:type="pct"/>
                  <w:vAlign w:val="center"/>
                </w:tcPr>
                <w:p>
                  <w:pPr>
                    <w:adjustRightInd w:val="0"/>
                    <w:snapToGrid w:val="0"/>
                    <w:jc w:val="center"/>
                    <w:rPr>
                      <w:color w:val="auto"/>
                      <w:szCs w:val="21"/>
                      <w:highlight w:val="none"/>
                    </w:rPr>
                  </w:pPr>
                  <w:r>
                    <w:rPr>
                      <w:rFonts w:hint="eastAsia"/>
                      <w:color w:val="auto"/>
                      <w:szCs w:val="21"/>
                      <w:highlight w:val="none"/>
                    </w:rPr>
                    <w:t>0.01</w:t>
                  </w:r>
                </w:p>
              </w:tc>
              <w:tc>
                <w:tcPr>
                  <w:tcW w:w="430" w:type="pct"/>
                  <w:vAlign w:val="center"/>
                </w:tcPr>
                <w:p>
                  <w:pPr>
                    <w:adjustRightInd w:val="0"/>
                    <w:snapToGrid w:val="0"/>
                    <w:jc w:val="center"/>
                    <w:rPr>
                      <w:color w:val="auto"/>
                      <w:szCs w:val="21"/>
                      <w:highlight w:val="none"/>
                    </w:rPr>
                  </w:pPr>
                  <w:r>
                    <w:rPr>
                      <w:rFonts w:hint="eastAsia"/>
                      <w:color w:val="auto"/>
                      <w:szCs w:val="21"/>
                      <w:highlight w:val="none"/>
                    </w:rPr>
                    <w:t>0.10</w:t>
                  </w:r>
                </w:p>
              </w:tc>
              <w:tc>
                <w:tcPr>
                  <w:tcW w:w="410" w:type="pct"/>
                  <w:vAlign w:val="center"/>
                </w:tcPr>
                <w:p>
                  <w:pPr>
                    <w:adjustRightInd w:val="0"/>
                    <w:snapToGrid w:val="0"/>
                    <w:jc w:val="center"/>
                    <w:rPr>
                      <w:color w:val="auto"/>
                      <w:szCs w:val="21"/>
                      <w:highlight w:val="none"/>
                    </w:rPr>
                  </w:pPr>
                  <w:r>
                    <w:rPr>
                      <w:rFonts w:hint="eastAsia"/>
                      <w:color w:val="auto"/>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455" w:type="pct"/>
                  <w:vAlign w:val="center"/>
                </w:tcPr>
                <w:p>
                  <w:pPr>
                    <w:adjustRightInd w:val="0"/>
                    <w:snapToGrid w:val="0"/>
                    <w:jc w:val="center"/>
                    <w:rPr>
                      <w:color w:val="auto"/>
                      <w:szCs w:val="21"/>
                      <w:highlight w:val="none"/>
                    </w:rPr>
                  </w:pPr>
                  <w:r>
                    <w:rPr>
                      <w:rFonts w:hint="eastAsia"/>
                      <w:color w:val="auto"/>
                      <w:szCs w:val="21"/>
                      <w:highlight w:val="none"/>
                    </w:rPr>
                    <w:t>四级</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13</w:t>
                  </w:r>
                </w:p>
              </w:tc>
              <w:tc>
                <w:tcPr>
                  <w:tcW w:w="456" w:type="pct"/>
                  <w:vAlign w:val="center"/>
                </w:tcPr>
                <w:p>
                  <w:pPr>
                    <w:adjustRightInd w:val="0"/>
                    <w:snapToGrid w:val="0"/>
                    <w:jc w:val="center"/>
                    <w:rPr>
                      <w:color w:val="auto"/>
                      <w:szCs w:val="21"/>
                      <w:highlight w:val="none"/>
                    </w:rPr>
                  </w:pPr>
                  <w:r>
                    <w:rPr>
                      <w:rFonts w:hint="eastAsia"/>
                      <w:color w:val="auto"/>
                      <w:szCs w:val="21"/>
                      <w:highlight w:val="none"/>
                    </w:rPr>
                    <w:t>0.40</w:t>
                  </w:r>
                </w:p>
              </w:tc>
              <w:tc>
                <w:tcPr>
                  <w:tcW w:w="547" w:type="pct"/>
                  <w:vAlign w:val="center"/>
                </w:tcPr>
                <w:p>
                  <w:pPr>
                    <w:adjustRightInd w:val="0"/>
                    <w:snapToGrid w:val="0"/>
                    <w:jc w:val="center"/>
                    <w:rPr>
                      <w:color w:val="auto"/>
                      <w:szCs w:val="21"/>
                      <w:highlight w:val="none"/>
                    </w:rPr>
                  </w:pPr>
                  <w:r>
                    <w:rPr>
                      <w:rFonts w:hint="eastAsia"/>
                      <w:color w:val="auto"/>
                      <w:szCs w:val="21"/>
                      <w:highlight w:val="none"/>
                    </w:rPr>
                    <w:t>10.00</w:t>
                  </w:r>
                </w:p>
              </w:tc>
              <w:tc>
                <w:tcPr>
                  <w:tcW w:w="429" w:type="pct"/>
                  <w:vAlign w:val="center"/>
                </w:tcPr>
                <w:p>
                  <w:pPr>
                    <w:adjustRightInd w:val="0"/>
                    <w:snapToGrid w:val="0"/>
                    <w:jc w:val="center"/>
                    <w:rPr>
                      <w:color w:val="auto"/>
                      <w:szCs w:val="21"/>
                      <w:highlight w:val="none"/>
                    </w:rPr>
                  </w:pPr>
                  <w:r>
                    <w:rPr>
                      <w:rFonts w:hint="eastAsia"/>
                      <w:color w:val="auto"/>
                      <w:szCs w:val="21"/>
                      <w:highlight w:val="none"/>
                    </w:rPr>
                    <w:t>4</w:t>
                  </w:r>
                </w:p>
              </w:tc>
              <w:tc>
                <w:tcPr>
                  <w:tcW w:w="550" w:type="pct"/>
                  <w:vAlign w:val="center"/>
                </w:tcPr>
                <w:p>
                  <w:pPr>
                    <w:adjustRightInd w:val="0"/>
                    <w:snapToGrid w:val="0"/>
                    <w:jc w:val="center"/>
                    <w:rPr>
                      <w:color w:val="auto"/>
                      <w:szCs w:val="21"/>
                      <w:highlight w:val="none"/>
                    </w:rPr>
                  </w:pPr>
                  <w:r>
                    <w:rPr>
                      <w:rFonts w:hint="eastAsia"/>
                      <w:color w:val="auto"/>
                      <w:szCs w:val="21"/>
                      <w:highlight w:val="none"/>
                    </w:rPr>
                    <w:t>0.40</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0.35</w:t>
                  </w:r>
                </w:p>
              </w:tc>
              <w:tc>
                <w:tcPr>
                  <w:tcW w:w="406" w:type="pct"/>
                  <w:vAlign w:val="center"/>
                </w:tcPr>
                <w:p>
                  <w:pPr>
                    <w:adjustRightInd w:val="0"/>
                    <w:snapToGrid w:val="0"/>
                    <w:jc w:val="center"/>
                    <w:rPr>
                      <w:color w:val="auto"/>
                      <w:szCs w:val="21"/>
                      <w:highlight w:val="none"/>
                    </w:rPr>
                  </w:pPr>
                  <w:r>
                    <w:rPr>
                      <w:rFonts w:hint="eastAsia"/>
                      <w:color w:val="auto"/>
                      <w:szCs w:val="21"/>
                      <w:highlight w:val="none"/>
                    </w:rPr>
                    <w:t>6.0</w:t>
                  </w:r>
                </w:p>
              </w:tc>
              <w:tc>
                <w:tcPr>
                  <w:tcW w:w="449" w:type="pct"/>
                  <w:vAlign w:val="center"/>
                </w:tcPr>
                <w:p>
                  <w:pPr>
                    <w:adjustRightInd w:val="0"/>
                    <w:snapToGrid w:val="0"/>
                    <w:jc w:val="center"/>
                    <w:rPr>
                      <w:color w:val="auto"/>
                      <w:szCs w:val="21"/>
                      <w:highlight w:val="none"/>
                    </w:rPr>
                  </w:pPr>
                  <w:r>
                    <w:rPr>
                      <w:rFonts w:hint="eastAsia"/>
                      <w:color w:val="auto"/>
                      <w:szCs w:val="21"/>
                      <w:highlight w:val="none"/>
                    </w:rPr>
                    <w:t>0.01</w:t>
                  </w:r>
                </w:p>
              </w:tc>
              <w:tc>
                <w:tcPr>
                  <w:tcW w:w="430" w:type="pct"/>
                  <w:vAlign w:val="center"/>
                </w:tcPr>
                <w:p>
                  <w:pPr>
                    <w:adjustRightInd w:val="0"/>
                    <w:snapToGrid w:val="0"/>
                    <w:jc w:val="center"/>
                    <w:rPr>
                      <w:color w:val="auto"/>
                      <w:szCs w:val="21"/>
                      <w:highlight w:val="none"/>
                    </w:rPr>
                  </w:pPr>
                  <w:r>
                    <w:rPr>
                      <w:rFonts w:hint="eastAsia"/>
                      <w:color w:val="auto"/>
                      <w:szCs w:val="21"/>
                      <w:highlight w:val="none"/>
                    </w:rPr>
                    <w:t>0.10</w:t>
                  </w:r>
                </w:p>
              </w:tc>
              <w:tc>
                <w:tcPr>
                  <w:tcW w:w="410" w:type="pct"/>
                  <w:vAlign w:val="center"/>
                </w:tcPr>
                <w:p>
                  <w:pPr>
                    <w:adjustRightInd w:val="0"/>
                    <w:snapToGrid w:val="0"/>
                    <w:jc w:val="center"/>
                    <w:rPr>
                      <w:color w:val="auto"/>
                      <w:szCs w:val="21"/>
                      <w:highlight w:val="none"/>
                    </w:rPr>
                  </w:pPr>
                  <w:r>
                    <w:rPr>
                      <w:rFonts w:hint="eastAsia"/>
                      <w:color w:val="auto"/>
                      <w:szCs w:val="21"/>
                      <w:highlight w:val="none"/>
                    </w:rPr>
                    <w:t>0.05</w:t>
                  </w:r>
                </w:p>
              </w:tc>
            </w:tr>
          </w:tbl>
          <w:p>
            <w:pPr>
              <w:widowControl/>
              <w:ind w:firstLine="210" w:firstLineChars="100"/>
              <w:jc w:val="left"/>
              <w:rPr>
                <w:color w:val="auto"/>
                <w:highlight w:val="none"/>
              </w:rPr>
            </w:pPr>
            <w:r>
              <w:rPr>
                <w:rFonts w:hint="eastAsia"/>
                <w:color w:val="auto"/>
                <w:highlight w:val="none"/>
              </w:rPr>
              <w:t>*</w:t>
            </w:r>
            <w:r>
              <w:rPr>
                <w:rFonts w:hint="eastAsia" w:ascii="宋体" w:hAnsi="宋体" w:cs="宋体"/>
                <w:color w:val="auto"/>
                <w:kern w:val="0"/>
                <w:sz w:val="20"/>
                <w:szCs w:val="20"/>
                <w:highlight w:val="none"/>
                <w:lang w:bidi="ar"/>
              </w:rPr>
              <w:t>注：</w:t>
            </w:r>
            <w:r>
              <w:rPr>
                <w:rFonts w:hint="eastAsia"/>
                <w:color w:val="auto"/>
                <w:szCs w:val="21"/>
                <w:highlight w:val="none"/>
              </w:rPr>
              <w:t>Pb</w:t>
            </w:r>
            <w:r>
              <w:rPr>
                <w:rFonts w:hint="eastAsia" w:ascii="宋体" w:hAnsi="宋体" w:cs="宋体"/>
                <w:color w:val="auto"/>
                <w:kern w:val="0"/>
                <w:sz w:val="20"/>
                <w:szCs w:val="20"/>
                <w:highlight w:val="none"/>
                <w:lang w:bidi="ar"/>
              </w:rPr>
              <w:t>、</w:t>
            </w:r>
            <w:r>
              <w:rPr>
                <w:color w:val="auto"/>
                <w:kern w:val="0"/>
                <w:sz w:val="20"/>
                <w:szCs w:val="20"/>
                <w:highlight w:val="none"/>
                <w:lang w:bidi="ar"/>
              </w:rPr>
              <w:t>Hg</w:t>
            </w:r>
            <w:r>
              <w:rPr>
                <w:rFonts w:hint="eastAsia" w:ascii="宋体" w:hAnsi="宋体" w:cs="宋体"/>
                <w:color w:val="auto"/>
                <w:kern w:val="0"/>
                <w:sz w:val="20"/>
                <w:szCs w:val="20"/>
                <w:highlight w:val="none"/>
                <w:lang w:bidi="ar"/>
              </w:rPr>
              <w:t>、</w:t>
            </w:r>
            <w:r>
              <w:rPr>
                <w:color w:val="auto"/>
                <w:kern w:val="0"/>
                <w:sz w:val="20"/>
                <w:szCs w:val="20"/>
                <w:highlight w:val="none"/>
                <w:lang w:bidi="ar"/>
              </w:rPr>
              <w:t>F</w:t>
            </w:r>
            <w:r>
              <w:rPr>
                <w:rFonts w:hint="eastAsia" w:ascii="宋体" w:hAnsi="宋体" w:cs="宋体"/>
                <w:color w:val="auto"/>
                <w:kern w:val="0"/>
                <w:sz w:val="20"/>
                <w:szCs w:val="20"/>
                <w:highlight w:val="none"/>
                <w:lang w:bidi="ar"/>
              </w:rPr>
              <w:t>、</w:t>
            </w:r>
            <w:r>
              <w:rPr>
                <w:color w:val="auto"/>
                <w:kern w:val="0"/>
                <w:sz w:val="20"/>
                <w:szCs w:val="20"/>
                <w:highlight w:val="none"/>
                <w:lang w:bidi="ar"/>
              </w:rPr>
              <w:t>Cd</w:t>
            </w:r>
            <w:r>
              <w:rPr>
                <w:rFonts w:hint="eastAsia" w:ascii="宋体" w:hAnsi="宋体" w:cs="宋体"/>
                <w:color w:val="auto"/>
                <w:kern w:val="0"/>
                <w:sz w:val="20"/>
                <w:szCs w:val="20"/>
                <w:highlight w:val="none"/>
                <w:lang w:bidi="ar"/>
              </w:rPr>
              <w:t>杂质限量执行《重金属精矿产品中有害元素的限量规范》（</w:t>
            </w:r>
            <w:r>
              <w:rPr>
                <w:color w:val="auto"/>
                <w:kern w:val="0"/>
                <w:sz w:val="20"/>
                <w:szCs w:val="20"/>
                <w:highlight w:val="none"/>
                <w:lang w:bidi="ar"/>
              </w:rPr>
              <w:t>GB20424-2006</w:t>
            </w:r>
            <w:r>
              <w:rPr>
                <w:rFonts w:hint="eastAsia" w:ascii="宋体" w:hAnsi="宋体" w:cs="宋体"/>
                <w:color w:val="auto"/>
                <w:kern w:val="0"/>
                <w:sz w:val="20"/>
                <w:szCs w:val="20"/>
                <w:highlight w:val="none"/>
                <w:lang w:bidi="ar"/>
              </w:rPr>
              <w:t>）。</w:t>
            </w:r>
          </w:p>
          <w:p>
            <w:pPr>
              <w:pStyle w:val="30"/>
              <w:ind w:firstLine="0" w:firstLineChars="0"/>
              <w:rPr>
                <w:b/>
                <w:bCs/>
                <w:color w:val="auto"/>
                <w:highlight w:val="none"/>
              </w:rPr>
            </w:pPr>
            <w:r>
              <w:rPr>
                <w:rFonts w:hint="eastAsia"/>
                <w:b/>
                <w:bCs/>
                <w:color w:val="auto"/>
                <w:highlight w:val="none"/>
              </w:rPr>
              <w:t>2.1.2.3主要生产设备</w:t>
            </w:r>
          </w:p>
          <w:p>
            <w:pPr>
              <w:pStyle w:val="30"/>
              <w:ind w:firstLine="480"/>
              <w:rPr>
                <w:color w:val="auto"/>
                <w:szCs w:val="28"/>
                <w:highlight w:val="none"/>
              </w:rPr>
            </w:pPr>
            <w:r>
              <w:rPr>
                <w:rFonts w:hint="eastAsia"/>
                <w:color w:val="auto"/>
                <w:szCs w:val="28"/>
                <w:highlight w:val="none"/>
              </w:rPr>
              <w:t>本项目主要生产设备如下表所示。</w:t>
            </w:r>
          </w:p>
          <w:p>
            <w:pPr>
              <w:pStyle w:val="33"/>
              <w:rPr>
                <w:color w:val="auto"/>
                <w:highlight w:val="none"/>
              </w:rPr>
            </w:pPr>
            <w:r>
              <w:rPr>
                <w:rFonts w:hint="eastAsia"/>
                <w:color w:val="auto"/>
                <w:highlight w:val="none"/>
              </w:rPr>
              <w:t>表2.1.4  主要生产设备一览表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2888"/>
              <w:gridCol w:w="3848"/>
              <w:gridCol w:w="644"/>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eastAsia" w:eastAsia="宋体"/>
                      <w:color w:val="auto"/>
                      <w:szCs w:val="21"/>
                      <w:highlight w:val="none"/>
                      <w:lang w:eastAsia="zh-CN"/>
                    </w:rPr>
                  </w:pPr>
                  <w:r>
                    <w:rPr>
                      <w:rFonts w:hint="eastAsia"/>
                      <w:color w:val="auto"/>
                      <w:szCs w:val="21"/>
                      <w:highlight w:val="none"/>
                      <w:lang w:val="en-US" w:eastAsia="zh-CN"/>
                    </w:rPr>
                    <w:t>编号</w:t>
                  </w:r>
                </w:p>
              </w:tc>
              <w:tc>
                <w:tcPr>
                  <w:tcW w:w="1645" w:type="pct"/>
                  <w:vAlign w:val="center"/>
                </w:tcPr>
                <w:p>
                  <w:pPr>
                    <w:jc w:val="center"/>
                    <w:rPr>
                      <w:color w:val="auto"/>
                      <w:szCs w:val="21"/>
                      <w:highlight w:val="none"/>
                    </w:rPr>
                  </w:pPr>
                  <w:r>
                    <w:rPr>
                      <w:color w:val="auto"/>
                      <w:szCs w:val="21"/>
                      <w:highlight w:val="none"/>
                    </w:rPr>
                    <w:t>设备名称</w:t>
                  </w:r>
                </w:p>
              </w:tc>
              <w:tc>
                <w:tcPr>
                  <w:tcW w:w="2193" w:type="pct"/>
                  <w:vAlign w:val="center"/>
                </w:tcPr>
                <w:p>
                  <w:pPr>
                    <w:jc w:val="center"/>
                    <w:rPr>
                      <w:color w:val="auto"/>
                      <w:szCs w:val="21"/>
                      <w:highlight w:val="none"/>
                    </w:rPr>
                  </w:pPr>
                  <w:r>
                    <w:rPr>
                      <w:color w:val="auto"/>
                      <w:szCs w:val="21"/>
                      <w:highlight w:val="none"/>
                    </w:rPr>
                    <w:t>型号</w:t>
                  </w:r>
                </w:p>
              </w:tc>
              <w:tc>
                <w:tcPr>
                  <w:tcW w:w="367" w:type="pct"/>
                  <w:vAlign w:val="center"/>
                </w:tcPr>
                <w:p>
                  <w:pPr>
                    <w:jc w:val="center"/>
                    <w:rPr>
                      <w:color w:val="auto"/>
                      <w:szCs w:val="21"/>
                      <w:highlight w:val="none"/>
                    </w:rPr>
                  </w:pPr>
                  <w:r>
                    <w:rPr>
                      <w:color w:val="auto"/>
                      <w:szCs w:val="21"/>
                      <w:highlight w:val="none"/>
                    </w:rPr>
                    <w:t>单位</w:t>
                  </w:r>
                </w:p>
              </w:tc>
              <w:tc>
                <w:tcPr>
                  <w:tcW w:w="400" w:type="pct"/>
                  <w:vAlign w:val="center"/>
                </w:tcPr>
                <w:p>
                  <w:pPr>
                    <w:jc w:val="center"/>
                    <w:rPr>
                      <w:color w:val="auto"/>
                      <w:szCs w:val="21"/>
                      <w:highlight w:val="none"/>
                    </w:rPr>
                  </w:pPr>
                  <w:r>
                    <w:rPr>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b/>
                      <w:bCs/>
                      <w:color w:val="auto"/>
                      <w:szCs w:val="21"/>
                      <w:highlight w:val="none"/>
                    </w:rPr>
                  </w:pPr>
                </w:p>
              </w:tc>
              <w:tc>
                <w:tcPr>
                  <w:tcW w:w="1645" w:type="pct"/>
                  <w:vAlign w:val="center"/>
                </w:tcPr>
                <w:p>
                  <w:pPr>
                    <w:jc w:val="center"/>
                    <w:rPr>
                      <w:b/>
                      <w:bCs/>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lang w:val="zh-CN"/>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color w:val="auto"/>
                      <w:szCs w:val="21"/>
                      <w:highlight w:val="none"/>
                    </w:rPr>
                  </w:pPr>
                </w:p>
              </w:tc>
              <w:tc>
                <w:tcPr>
                  <w:tcW w:w="1645" w:type="pct"/>
                  <w:vAlign w:val="center"/>
                </w:tcPr>
                <w:p>
                  <w:pPr>
                    <w:jc w:val="center"/>
                    <w:rPr>
                      <w:color w:val="auto"/>
                      <w:szCs w:val="21"/>
                      <w:highlight w:val="none"/>
                    </w:rPr>
                  </w:pPr>
                </w:p>
              </w:tc>
              <w:tc>
                <w:tcPr>
                  <w:tcW w:w="2193" w:type="pct"/>
                  <w:vAlign w:val="center"/>
                </w:tcPr>
                <w:p>
                  <w:pPr>
                    <w:jc w:val="center"/>
                    <w:rPr>
                      <w:color w:val="auto"/>
                      <w:szCs w:val="21"/>
                      <w:highlight w:val="none"/>
                    </w:rPr>
                  </w:pPr>
                </w:p>
              </w:tc>
              <w:tc>
                <w:tcPr>
                  <w:tcW w:w="367" w:type="pct"/>
                  <w:vAlign w:val="center"/>
                </w:tcPr>
                <w:p>
                  <w:pPr>
                    <w:jc w:val="center"/>
                    <w:rPr>
                      <w:color w:val="auto"/>
                      <w:szCs w:val="21"/>
                      <w:highlight w:val="none"/>
                    </w:rPr>
                  </w:pPr>
                </w:p>
              </w:tc>
              <w:tc>
                <w:tcPr>
                  <w:tcW w:w="400" w:type="pct"/>
                  <w:vAlign w:val="center"/>
                </w:tcPr>
                <w:p>
                  <w:pPr>
                    <w:jc w:val="center"/>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eastAsia" w:eastAsia="宋体"/>
                      <w:color w:val="auto"/>
                      <w:szCs w:val="21"/>
                      <w:highlight w:val="none"/>
                      <w:lang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b/>
                      <w:bCs/>
                      <w:color w:val="auto"/>
                      <w:szCs w:val="21"/>
                      <w:highlight w:val="none"/>
                      <w:lang w:val="en-US" w:eastAsia="zh-CN"/>
                    </w:rPr>
                  </w:pPr>
                </w:p>
              </w:tc>
              <w:tc>
                <w:tcPr>
                  <w:tcW w:w="367" w:type="pct"/>
                  <w:vAlign w:val="center"/>
                </w:tcPr>
                <w:p>
                  <w:pPr>
                    <w:jc w:val="center"/>
                    <w:rPr>
                      <w:rFonts w:hint="default"/>
                      <w:b/>
                      <w:bCs/>
                      <w:color w:val="auto"/>
                      <w:szCs w:val="21"/>
                      <w:highlight w:val="none"/>
                      <w:lang w:val="en-US" w:eastAsia="zh-CN"/>
                    </w:rPr>
                  </w:pPr>
                </w:p>
              </w:tc>
              <w:tc>
                <w:tcPr>
                  <w:tcW w:w="400" w:type="pct"/>
                  <w:vAlign w:val="center"/>
                </w:tcPr>
                <w:p>
                  <w:pPr>
                    <w:jc w:val="center"/>
                    <w:rPr>
                      <w:rFonts w:hint="default"/>
                      <w:b/>
                      <w:bCs/>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5" w:type="dxa"/>
                  <w:vAlign w:val="center"/>
                </w:tcPr>
                <w:p>
                  <w:pPr>
                    <w:jc w:val="center"/>
                    <w:rPr>
                      <w:rFonts w:hint="default"/>
                      <w:color w:val="auto"/>
                      <w:szCs w:val="21"/>
                      <w:highlight w:val="none"/>
                      <w:lang w:val="en-US" w:eastAsia="zh-CN"/>
                    </w:rPr>
                  </w:pPr>
                </w:p>
              </w:tc>
              <w:tc>
                <w:tcPr>
                  <w:tcW w:w="2913" w:type="dxa"/>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5" w:type="dxa"/>
                  <w:vAlign w:val="center"/>
                </w:tcPr>
                <w:p>
                  <w:pPr>
                    <w:jc w:val="center"/>
                    <w:rPr>
                      <w:rFonts w:hint="default"/>
                      <w:color w:val="auto"/>
                      <w:szCs w:val="21"/>
                      <w:highlight w:val="none"/>
                      <w:lang w:val="en-US" w:eastAsia="zh-CN"/>
                    </w:rPr>
                  </w:pPr>
                </w:p>
              </w:tc>
              <w:tc>
                <w:tcPr>
                  <w:tcW w:w="2913" w:type="dxa"/>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5" w:type="dxa"/>
                  <w:vAlign w:val="center"/>
                </w:tcPr>
                <w:p>
                  <w:pPr>
                    <w:jc w:val="center"/>
                    <w:rPr>
                      <w:rFonts w:hint="default"/>
                      <w:color w:val="auto"/>
                      <w:szCs w:val="21"/>
                      <w:highlight w:val="none"/>
                      <w:lang w:val="en-US" w:eastAsia="zh-CN"/>
                    </w:rPr>
                  </w:pPr>
                </w:p>
              </w:tc>
              <w:tc>
                <w:tcPr>
                  <w:tcW w:w="2913" w:type="dxa"/>
                  <w:vAlign w:val="center"/>
                </w:tcPr>
                <w:p>
                  <w:pPr>
                    <w:jc w:val="center"/>
                    <w:rPr>
                      <w:rFonts w:hint="eastAsia"/>
                      <w:color w:val="auto"/>
                      <w:szCs w:val="21"/>
                      <w:highlight w:val="none"/>
                      <w:lang w:val="en-US" w:eastAsia="zh-CN"/>
                    </w:rPr>
                  </w:pPr>
                </w:p>
              </w:tc>
              <w:tc>
                <w:tcPr>
                  <w:tcW w:w="3883" w:type="dxa"/>
                  <w:vAlign w:val="center"/>
                </w:tcPr>
                <w:p>
                  <w:pPr>
                    <w:jc w:val="center"/>
                    <w:rPr>
                      <w:rFonts w:hint="default"/>
                      <w:color w:val="auto"/>
                      <w:szCs w:val="21"/>
                      <w:highlight w:val="none"/>
                      <w:lang w:val="en-US" w:eastAsia="zh-CN"/>
                    </w:rPr>
                  </w:pPr>
                </w:p>
              </w:tc>
              <w:tc>
                <w:tcPr>
                  <w:tcW w:w="650" w:type="dxa"/>
                  <w:vAlign w:val="center"/>
                </w:tcPr>
                <w:p>
                  <w:pPr>
                    <w:jc w:val="center"/>
                    <w:rPr>
                      <w:rFonts w:hint="default"/>
                      <w:color w:val="auto"/>
                      <w:szCs w:val="21"/>
                      <w:highlight w:val="none"/>
                      <w:lang w:val="zh-CN" w:eastAsia="zh-CN"/>
                    </w:rPr>
                  </w:pPr>
                </w:p>
              </w:tc>
              <w:tc>
                <w:tcPr>
                  <w:tcW w:w="708" w:type="dxa"/>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695" w:type="dxa"/>
                  <w:vAlign w:val="center"/>
                </w:tcPr>
                <w:p>
                  <w:pPr>
                    <w:jc w:val="center"/>
                    <w:rPr>
                      <w:rFonts w:hint="default"/>
                      <w:color w:val="auto"/>
                      <w:szCs w:val="21"/>
                      <w:highlight w:val="none"/>
                      <w:lang w:val="en-US" w:eastAsia="zh-CN"/>
                    </w:rPr>
                  </w:pPr>
                </w:p>
              </w:tc>
              <w:tc>
                <w:tcPr>
                  <w:tcW w:w="2913" w:type="dxa"/>
                  <w:vAlign w:val="center"/>
                </w:tcPr>
                <w:p>
                  <w:pPr>
                    <w:jc w:val="center"/>
                    <w:rPr>
                      <w:rFonts w:hint="eastAsia"/>
                      <w:color w:val="auto"/>
                      <w:szCs w:val="21"/>
                      <w:highlight w:val="none"/>
                      <w:lang w:val="en-US" w:eastAsia="zh-CN"/>
                    </w:rPr>
                  </w:pPr>
                </w:p>
              </w:tc>
              <w:tc>
                <w:tcPr>
                  <w:tcW w:w="3883" w:type="dxa"/>
                  <w:vAlign w:val="center"/>
                </w:tcPr>
                <w:p>
                  <w:pPr>
                    <w:jc w:val="center"/>
                    <w:rPr>
                      <w:rFonts w:hint="default"/>
                      <w:color w:val="auto"/>
                      <w:szCs w:val="21"/>
                      <w:highlight w:val="none"/>
                      <w:lang w:val="en-US" w:eastAsia="zh-CN"/>
                    </w:rPr>
                  </w:pPr>
                </w:p>
              </w:tc>
              <w:tc>
                <w:tcPr>
                  <w:tcW w:w="650" w:type="dxa"/>
                  <w:vAlign w:val="center"/>
                </w:tcPr>
                <w:p>
                  <w:pPr>
                    <w:jc w:val="center"/>
                    <w:rPr>
                      <w:rFonts w:hint="default"/>
                      <w:color w:val="auto"/>
                      <w:szCs w:val="21"/>
                      <w:highlight w:val="none"/>
                      <w:lang w:val="zh-CN" w:eastAsia="zh-CN"/>
                    </w:rPr>
                  </w:pPr>
                </w:p>
              </w:tc>
              <w:tc>
                <w:tcPr>
                  <w:tcW w:w="708" w:type="dxa"/>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2913" w:type="dxa"/>
                  <w:vAlign w:val="center"/>
                </w:tcPr>
                <w:p>
                  <w:pPr>
                    <w:jc w:val="center"/>
                    <w:rPr>
                      <w:rFonts w:hint="default"/>
                      <w:color w:val="auto"/>
                      <w:szCs w:val="21"/>
                      <w:highlight w:val="none"/>
                      <w:lang w:val="en-US" w:eastAsia="zh-CN"/>
                    </w:rPr>
                  </w:pPr>
                </w:p>
              </w:tc>
              <w:tc>
                <w:tcPr>
                  <w:tcW w:w="3883" w:type="dxa"/>
                  <w:vAlign w:val="center"/>
                </w:tcPr>
                <w:p>
                  <w:pPr>
                    <w:jc w:val="center"/>
                    <w:rPr>
                      <w:rFonts w:hint="default"/>
                      <w:color w:val="auto"/>
                      <w:szCs w:val="21"/>
                      <w:highlight w:val="none"/>
                      <w:lang w:val="en-US" w:eastAsia="zh-CN"/>
                    </w:rPr>
                  </w:pPr>
                </w:p>
              </w:tc>
              <w:tc>
                <w:tcPr>
                  <w:tcW w:w="650" w:type="dxa"/>
                  <w:vAlign w:val="center"/>
                </w:tcPr>
                <w:p>
                  <w:pPr>
                    <w:jc w:val="center"/>
                    <w:rPr>
                      <w:rFonts w:hint="eastAsia"/>
                      <w:color w:val="auto"/>
                      <w:szCs w:val="21"/>
                      <w:highlight w:val="none"/>
                      <w:lang w:val="en-US" w:eastAsia="zh-CN"/>
                    </w:rPr>
                  </w:pPr>
                </w:p>
              </w:tc>
              <w:tc>
                <w:tcPr>
                  <w:tcW w:w="708" w:type="dxa"/>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2913" w:type="dxa"/>
                  <w:vAlign w:val="center"/>
                </w:tcPr>
                <w:p>
                  <w:pPr>
                    <w:jc w:val="center"/>
                    <w:rPr>
                      <w:rFonts w:hint="default"/>
                      <w:color w:val="auto"/>
                      <w:szCs w:val="21"/>
                      <w:highlight w:val="none"/>
                      <w:lang w:val="en-US" w:eastAsia="zh-CN"/>
                    </w:rPr>
                  </w:pPr>
                </w:p>
              </w:tc>
              <w:tc>
                <w:tcPr>
                  <w:tcW w:w="3883" w:type="dxa"/>
                  <w:vAlign w:val="center"/>
                </w:tcPr>
                <w:p>
                  <w:pPr>
                    <w:jc w:val="center"/>
                    <w:rPr>
                      <w:rFonts w:hint="default"/>
                      <w:color w:val="auto"/>
                      <w:szCs w:val="21"/>
                      <w:highlight w:val="none"/>
                      <w:lang w:val="en-US" w:eastAsia="zh-CN"/>
                    </w:rPr>
                  </w:pPr>
                </w:p>
              </w:tc>
              <w:tc>
                <w:tcPr>
                  <w:tcW w:w="650" w:type="dxa"/>
                  <w:vAlign w:val="center"/>
                </w:tcPr>
                <w:p>
                  <w:pPr>
                    <w:jc w:val="center"/>
                    <w:rPr>
                      <w:rFonts w:hint="eastAsia"/>
                      <w:color w:val="auto"/>
                      <w:szCs w:val="21"/>
                      <w:highlight w:val="none"/>
                      <w:lang w:val="en-US" w:eastAsia="zh-CN"/>
                    </w:rPr>
                  </w:pPr>
                </w:p>
              </w:tc>
              <w:tc>
                <w:tcPr>
                  <w:tcW w:w="708" w:type="dxa"/>
                  <w:vAlign w:val="center"/>
                </w:tcPr>
                <w:p>
                  <w:pPr>
                    <w:jc w:val="center"/>
                    <w:rPr>
                      <w:rFonts w:hint="eastAsia"/>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b/>
                      <w:bCs/>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zh-CN"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2" w:hRule="atLeast"/>
                <w:jc w:val="center"/>
              </w:trPr>
              <w:tc>
                <w:tcPr>
                  <w:tcW w:w="393" w:type="pct"/>
                  <w:vAlign w:val="center"/>
                </w:tcPr>
                <w:p>
                  <w:pPr>
                    <w:jc w:val="center"/>
                    <w:rPr>
                      <w:rFonts w:hint="default"/>
                      <w:b/>
                      <w:bCs/>
                      <w:color w:val="auto"/>
                      <w:szCs w:val="21"/>
                      <w:highlight w:val="none"/>
                      <w:lang w:val="en-US" w:eastAsia="zh-CN"/>
                    </w:rPr>
                  </w:pPr>
                </w:p>
              </w:tc>
              <w:tc>
                <w:tcPr>
                  <w:tcW w:w="1645" w:type="pct"/>
                  <w:vAlign w:val="center"/>
                </w:tcPr>
                <w:p>
                  <w:pPr>
                    <w:jc w:val="center"/>
                    <w:rPr>
                      <w:rFonts w:hint="default"/>
                      <w:b/>
                      <w:bCs/>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 w:hRule="atLeast"/>
                <w:jc w:val="center"/>
              </w:trPr>
              <w:tc>
                <w:tcPr>
                  <w:tcW w:w="393" w:type="pct"/>
                  <w:vAlign w:val="center"/>
                </w:tcPr>
                <w:p>
                  <w:pPr>
                    <w:jc w:val="center"/>
                    <w:rPr>
                      <w:rFonts w:hint="default"/>
                      <w:color w:val="auto"/>
                      <w:szCs w:val="21"/>
                      <w:highlight w:val="none"/>
                      <w:lang w:val="en-US" w:eastAsia="zh-CN"/>
                    </w:rPr>
                  </w:pPr>
                </w:p>
              </w:tc>
              <w:tc>
                <w:tcPr>
                  <w:tcW w:w="1645" w:type="pct"/>
                  <w:vAlign w:val="center"/>
                </w:tcPr>
                <w:p>
                  <w:pPr>
                    <w:jc w:val="center"/>
                    <w:rPr>
                      <w:rFonts w:hint="default"/>
                      <w:color w:val="auto"/>
                      <w:szCs w:val="21"/>
                      <w:highlight w:val="none"/>
                      <w:lang w:val="en-US" w:eastAsia="zh-CN"/>
                    </w:rPr>
                  </w:pPr>
                </w:p>
              </w:tc>
              <w:tc>
                <w:tcPr>
                  <w:tcW w:w="2193" w:type="pct"/>
                  <w:vAlign w:val="center"/>
                </w:tcPr>
                <w:p>
                  <w:pPr>
                    <w:jc w:val="center"/>
                    <w:rPr>
                      <w:rFonts w:hint="default"/>
                      <w:color w:val="auto"/>
                      <w:szCs w:val="21"/>
                      <w:highlight w:val="none"/>
                      <w:lang w:val="en-US" w:eastAsia="zh-CN"/>
                    </w:rPr>
                  </w:pPr>
                </w:p>
              </w:tc>
              <w:tc>
                <w:tcPr>
                  <w:tcW w:w="367" w:type="pct"/>
                  <w:vAlign w:val="center"/>
                </w:tcPr>
                <w:p>
                  <w:pPr>
                    <w:jc w:val="center"/>
                    <w:rPr>
                      <w:rFonts w:hint="default"/>
                      <w:color w:val="auto"/>
                      <w:szCs w:val="21"/>
                      <w:highlight w:val="none"/>
                      <w:lang w:val="en-US" w:eastAsia="zh-CN"/>
                    </w:rPr>
                  </w:pPr>
                </w:p>
              </w:tc>
              <w:tc>
                <w:tcPr>
                  <w:tcW w:w="400" w:type="pct"/>
                  <w:vAlign w:val="center"/>
                </w:tcPr>
                <w:p>
                  <w:pPr>
                    <w:jc w:val="center"/>
                    <w:rPr>
                      <w:rFonts w:hint="default"/>
                      <w:color w:val="auto"/>
                      <w:szCs w:val="21"/>
                      <w:highlight w:val="none"/>
                      <w:lang w:val="en-US" w:eastAsia="zh-CN"/>
                    </w:rPr>
                  </w:pPr>
                </w:p>
              </w:tc>
            </w:tr>
          </w:tbl>
          <w:p>
            <w:pPr>
              <w:pStyle w:val="30"/>
              <w:ind w:firstLine="0" w:firstLineChars="0"/>
              <w:rPr>
                <w:b/>
                <w:bCs/>
                <w:color w:val="auto"/>
                <w:highlight w:val="none"/>
              </w:rPr>
            </w:pPr>
            <w:r>
              <w:rPr>
                <w:rFonts w:hint="eastAsia"/>
                <w:b/>
                <w:bCs/>
                <w:color w:val="auto"/>
                <w:highlight w:val="none"/>
              </w:rPr>
              <w:t>2.1.2.4 主要原辅材料和能源消耗</w:t>
            </w:r>
          </w:p>
          <w:p>
            <w:pPr>
              <w:pStyle w:val="30"/>
              <w:ind w:firstLine="480"/>
              <w:rPr>
                <w:color w:val="auto"/>
                <w:szCs w:val="22"/>
                <w:highlight w:val="none"/>
              </w:rPr>
            </w:pPr>
            <w:r>
              <w:rPr>
                <w:rFonts w:hint="eastAsia"/>
                <w:color w:val="auto"/>
                <w:szCs w:val="22"/>
                <w:highlight w:val="none"/>
              </w:rPr>
              <w:t>1.</w:t>
            </w:r>
            <w:r>
              <w:rPr>
                <w:color w:val="auto"/>
                <w:szCs w:val="22"/>
                <w:highlight w:val="none"/>
              </w:rPr>
              <w:t>原</w:t>
            </w:r>
            <w:r>
              <w:rPr>
                <w:rFonts w:hint="eastAsia"/>
                <w:color w:val="auto"/>
                <w:szCs w:val="22"/>
                <w:highlight w:val="none"/>
              </w:rPr>
              <w:t>辅</w:t>
            </w:r>
            <w:r>
              <w:rPr>
                <w:color w:val="auto"/>
                <w:szCs w:val="22"/>
                <w:highlight w:val="none"/>
              </w:rPr>
              <w:t>材料用量</w:t>
            </w:r>
          </w:p>
          <w:p>
            <w:pPr>
              <w:pStyle w:val="30"/>
              <w:ind w:firstLine="480"/>
              <w:rPr>
                <w:color w:val="auto"/>
                <w:szCs w:val="22"/>
                <w:highlight w:val="none"/>
              </w:rPr>
            </w:pPr>
            <w:r>
              <w:rPr>
                <w:rFonts w:hint="eastAsia"/>
                <w:color w:val="auto"/>
                <w:szCs w:val="22"/>
                <w:highlight w:val="none"/>
              </w:rPr>
              <w:t>本项目</w:t>
            </w:r>
            <w:r>
              <w:rPr>
                <w:color w:val="auto"/>
                <w:szCs w:val="22"/>
                <w:highlight w:val="none"/>
              </w:rPr>
              <w:t>主要原</w:t>
            </w:r>
            <w:r>
              <w:rPr>
                <w:rFonts w:hint="eastAsia"/>
                <w:color w:val="auto"/>
                <w:szCs w:val="22"/>
                <w:highlight w:val="none"/>
              </w:rPr>
              <w:t>辅</w:t>
            </w:r>
            <w:r>
              <w:rPr>
                <w:color w:val="auto"/>
                <w:szCs w:val="22"/>
                <w:highlight w:val="none"/>
              </w:rPr>
              <w:t>材料</w:t>
            </w:r>
            <w:r>
              <w:rPr>
                <w:rFonts w:hint="eastAsia"/>
                <w:color w:val="auto"/>
                <w:szCs w:val="22"/>
                <w:highlight w:val="none"/>
              </w:rPr>
              <w:t>及</w:t>
            </w:r>
            <w:r>
              <w:rPr>
                <w:color w:val="auto"/>
                <w:szCs w:val="22"/>
                <w:highlight w:val="none"/>
              </w:rPr>
              <w:t>用量见</w:t>
            </w:r>
            <w:r>
              <w:rPr>
                <w:rFonts w:hint="eastAsia"/>
                <w:color w:val="auto"/>
                <w:szCs w:val="22"/>
                <w:highlight w:val="none"/>
              </w:rPr>
              <w:t>下表所示</w:t>
            </w:r>
            <w:r>
              <w:rPr>
                <w:color w:val="auto"/>
                <w:szCs w:val="22"/>
                <w:highlight w:val="none"/>
              </w:rPr>
              <w:t>。</w:t>
            </w:r>
          </w:p>
          <w:p>
            <w:pPr>
              <w:pStyle w:val="36"/>
              <w:rPr>
                <w:color w:val="auto"/>
                <w:highlight w:val="none"/>
              </w:rPr>
            </w:pPr>
            <w:r>
              <w:rPr>
                <w:rFonts w:hint="eastAsia"/>
                <w:color w:val="auto"/>
                <w:highlight w:val="none"/>
              </w:rPr>
              <w:t>表2.1.5  主要原辅材料及用量一览表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2201"/>
              <w:gridCol w:w="1322"/>
              <w:gridCol w:w="1477"/>
              <w:gridCol w:w="1477"/>
              <w:gridCol w:w="1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color w:val="auto"/>
                      <w:highlight w:val="none"/>
                    </w:rPr>
                    <w:t>序号</w:t>
                  </w:r>
                </w:p>
              </w:tc>
              <w:tc>
                <w:tcPr>
                  <w:tcW w:w="1254" w:type="pct"/>
                  <w:vAlign w:val="center"/>
                </w:tcPr>
                <w:p>
                  <w:pPr>
                    <w:pStyle w:val="34"/>
                    <w:widowControl w:val="0"/>
                    <w:rPr>
                      <w:color w:val="auto"/>
                      <w:highlight w:val="none"/>
                    </w:rPr>
                  </w:pPr>
                  <w:r>
                    <w:rPr>
                      <w:rFonts w:hint="eastAsia"/>
                      <w:color w:val="auto"/>
                      <w:highlight w:val="none"/>
                    </w:rPr>
                    <w:t>名称</w:t>
                  </w:r>
                </w:p>
              </w:tc>
              <w:tc>
                <w:tcPr>
                  <w:tcW w:w="753" w:type="pct"/>
                  <w:vAlign w:val="center"/>
                </w:tcPr>
                <w:p>
                  <w:pPr>
                    <w:pStyle w:val="34"/>
                    <w:widowControl w:val="0"/>
                    <w:rPr>
                      <w:color w:val="auto"/>
                      <w:highlight w:val="none"/>
                    </w:rPr>
                  </w:pPr>
                  <w:r>
                    <w:rPr>
                      <w:rFonts w:hint="eastAsia"/>
                      <w:color w:val="auto"/>
                      <w:highlight w:val="none"/>
                    </w:rPr>
                    <w:t>年用量</w:t>
                  </w:r>
                </w:p>
              </w:tc>
              <w:tc>
                <w:tcPr>
                  <w:tcW w:w="841" w:type="pct"/>
                  <w:vAlign w:val="center"/>
                </w:tcPr>
                <w:p>
                  <w:pPr>
                    <w:jc w:val="center"/>
                    <w:rPr>
                      <w:color w:val="auto"/>
                      <w:highlight w:val="none"/>
                    </w:rPr>
                  </w:pPr>
                  <w:r>
                    <w:rPr>
                      <w:rFonts w:hint="eastAsia"/>
                      <w:color w:val="auto"/>
                      <w:szCs w:val="21"/>
                      <w:highlight w:val="none"/>
                    </w:rPr>
                    <w:t>最大储存量</w:t>
                  </w:r>
                </w:p>
              </w:tc>
              <w:tc>
                <w:tcPr>
                  <w:tcW w:w="841" w:type="pct"/>
                  <w:vAlign w:val="center"/>
                </w:tcPr>
                <w:p>
                  <w:pPr>
                    <w:jc w:val="center"/>
                    <w:rPr>
                      <w:color w:val="auto"/>
                      <w:szCs w:val="21"/>
                      <w:highlight w:val="none"/>
                    </w:rPr>
                  </w:pPr>
                  <w:r>
                    <w:rPr>
                      <w:rFonts w:hint="eastAsia"/>
                      <w:color w:val="auto"/>
                      <w:szCs w:val="21"/>
                      <w:highlight w:val="none"/>
                    </w:rPr>
                    <w:t>来源</w:t>
                  </w:r>
                </w:p>
              </w:tc>
              <w:tc>
                <w:tcPr>
                  <w:tcW w:w="841" w:type="pct"/>
                  <w:vAlign w:val="center"/>
                </w:tcPr>
                <w:p>
                  <w:pPr>
                    <w:jc w:val="center"/>
                    <w:rPr>
                      <w:color w:val="auto"/>
                      <w:szCs w:val="21"/>
                      <w:highlight w:val="none"/>
                    </w:rPr>
                  </w:pPr>
                  <w:r>
                    <w:rPr>
                      <w:rFonts w:hint="eastAsia"/>
                      <w:color w:val="auto"/>
                      <w:szCs w:val="21"/>
                      <w:highlight w:val="none"/>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rFonts w:hint="eastAsia"/>
                      <w:color w:val="auto"/>
                      <w:highlight w:val="none"/>
                    </w:rPr>
                    <w:t>1</w:t>
                  </w:r>
                </w:p>
              </w:tc>
              <w:tc>
                <w:tcPr>
                  <w:tcW w:w="1254" w:type="pct"/>
                  <w:vAlign w:val="center"/>
                </w:tcPr>
                <w:p>
                  <w:pPr>
                    <w:adjustRightInd w:val="0"/>
                    <w:snapToGrid w:val="0"/>
                    <w:jc w:val="center"/>
                    <w:rPr>
                      <w:bCs/>
                      <w:color w:val="auto"/>
                      <w:szCs w:val="21"/>
                      <w:highlight w:val="none"/>
                    </w:rPr>
                  </w:pPr>
                  <w:r>
                    <w:rPr>
                      <w:rFonts w:hint="eastAsia"/>
                      <w:bCs/>
                      <w:color w:val="auto"/>
                      <w:szCs w:val="21"/>
                      <w:highlight w:val="none"/>
                    </w:rPr>
                    <w:t>铜精矿（非标矿A矿）</w:t>
                  </w:r>
                </w:p>
              </w:tc>
              <w:tc>
                <w:tcPr>
                  <w:tcW w:w="753" w:type="pct"/>
                  <w:vAlign w:val="center"/>
                </w:tcPr>
                <w:p>
                  <w:pPr>
                    <w:pStyle w:val="34"/>
                    <w:widowControl w:val="0"/>
                    <w:rPr>
                      <w:color w:val="auto"/>
                      <w:spacing w:val="-2"/>
                      <w:highlight w:val="none"/>
                    </w:rPr>
                  </w:pPr>
                  <w:r>
                    <w:rPr>
                      <w:rFonts w:hint="eastAsia"/>
                      <w:color w:val="auto"/>
                      <w:spacing w:val="-2"/>
                      <w:highlight w:val="none"/>
                    </w:rPr>
                    <w:t>33.33万吨</w:t>
                  </w:r>
                </w:p>
              </w:tc>
              <w:tc>
                <w:tcPr>
                  <w:tcW w:w="841" w:type="pct"/>
                  <w:vAlign w:val="center"/>
                </w:tcPr>
                <w:p>
                  <w:pPr>
                    <w:pStyle w:val="34"/>
                    <w:widowControl w:val="0"/>
                    <w:rPr>
                      <w:color w:val="auto"/>
                      <w:spacing w:val="-5"/>
                      <w:highlight w:val="none"/>
                    </w:rPr>
                  </w:pPr>
                  <w:r>
                    <w:rPr>
                      <w:rFonts w:hint="eastAsia"/>
                      <w:color w:val="auto"/>
                      <w:spacing w:val="-5"/>
                      <w:highlight w:val="none"/>
                    </w:rPr>
                    <w:t>吨</w:t>
                  </w:r>
                </w:p>
              </w:tc>
              <w:tc>
                <w:tcPr>
                  <w:tcW w:w="841" w:type="pct"/>
                  <w:vAlign w:val="center"/>
                </w:tcPr>
                <w:p>
                  <w:pPr>
                    <w:pStyle w:val="34"/>
                    <w:widowControl w:val="0"/>
                    <w:rPr>
                      <w:color w:val="auto"/>
                      <w:spacing w:val="-5"/>
                      <w:highlight w:val="none"/>
                    </w:rPr>
                  </w:pPr>
                  <w:r>
                    <w:rPr>
                      <w:rFonts w:hint="eastAsia"/>
                      <w:color w:val="auto"/>
                      <w:szCs w:val="22"/>
                      <w:highlight w:val="none"/>
                    </w:rPr>
                    <w:t>海外市场</w:t>
                  </w:r>
                </w:p>
              </w:tc>
              <w:tc>
                <w:tcPr>
                  <w:tcW w:w="841" w:type="pct"/>
                  <w:vAlign w:val="center"/>
                </w:tcPr>
                <w:p>
                  <w:pPr>
                    <w:pStyle w:val="34"/>
                    <w:widowControl w:val="0"/>
                    <w:rPr>
                      <w:color w:val="auto"/>
                      <w:spacing w:val="-5"/>
                      <w:highlight w:val="none"/>
                    </w:rPr>
                  </w:pPr>
                  <w:r>
                    <w:rPr>
                      <w:rFonts w:hint="eastAsia"/>
                      <w:color w:val="auto"/>
                      <w:highlight w:val="none"/>
                    </w:rPr>
                    <w:t>A矿堆位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rFonts w:hint="eastAsia"/>
                      <w:color w:val="auto"/>
                      <w:highlight w:val="none"/>
                    </w:rPr>
                    <w:t>2</w:t>
                  </w:r>
                </w:p>
              </w:tc>
              <w:tc>
                <w:tcPr>
                  <w:tcW w:w="1254" w:type="pct"/>
                  <w:vAlign w:val="center"/>
                </w:tcPr>
                <w:p>
                  <w:pPr>
                    <w:adjustRightInd w:val="0"/>
                    <w:snapToGrid w:val="0"/>
                    <w:jc w:val="center"/>
                    <w:rPr>
                      <w:bCs/>
                      <w:color w:val="auto"/>
                      <w:szCs w:val="21"/>
                      <w:highlight w:val="none"/>
                    </w:rPr>
                  </w:pPr>
                  <w:r>
                    <w:rPr>
                      <w:rFonts w:hint="eastAsia"/>
                      <w:bCs/>
                      <w:color w:val="auto"/>
                      <w:szCs w:val="21"/>
                      <w:highlight w:val="none"/>
                    </w:rPr>
                    <w:t>铜精矿（标准矿B矿）</w:t>
                  </w:r>
                </w:p>
              </w:tc>
              <w:tc>
                <w:tcPr>
                  <w:tcW w:w="753" w:type="pct"/>
                  <w:vAlign w:val="center"/>
                </w:tcPr>
                <w:p>
                  <w:pPr>
                    <w:pStyle w:val="34"/>
                    <w:widowControl w:val="0"/>
                    <w:rPr>
                      <w:color w:val="auto"/>
                      <w:spacing w:val="-2"/>
                      <w:highlight w:val="none"/>
                    </w:rPr>
                  </w:pPr>
                  <w:r>
                    <w:rPr>
                      <w:rFonts w:hint="eastAsia"/>
                      <w:color w:val="auto"/>
                      <w:spacing w:val="-2"/>
                      <w:highlight w:val="none"/>
                    </w:rPr>
                    <w:t>66.67万吨</w:t>
                  </w:r>
                </w:p>
              </w:tc>
              <w:tc>
                <w:tcPr>
                  <w:tcW w:w="841" w:type="pct"/>
                  <w:vAlign w:val="center"/>
                </w:tcPr>
                <w:p>
                  <w:pPr>
                    <w:pStyle w:val="34"/>
                    <w:widowControl w:val="0"/>
                    <w:rPr>
                      <w:color w:val="auto"/>
                      <w:spacing w:val="-5"/>
                      <w:highlight w:val="none"/>
                    </w:rPr>
                  </w:pPr>
                  <w:r>
                    <w:rPr>
                      <w:rFonts w:hint="eastAsia"/>
                      <w:color w:val="auto"/>
                      <w:spacing w:val="-5"/>
                      <w:highlight w:val="none"/>
                    </w:rPr>
                    <w:t>吨</w:t>
                  </w:r>
                </w:p>
              </w:tc>
              <w:tc>
                <w:tcPr>
                  <w:tcW w:w="841" w:type="pct"/>
                  <w:vAlign w:val="center"/>
                </w:tcPr>
                <w:p>
                  <w:pPr>
                    <w:pStyle w:val="34"/>
                    <w:widowControl w:val="0"/>
                    <w:rPr>
                      <w:color w:val="auto"/>
                      <w:spacing w:val="-5"/>
                      <w:highlight w:val="none"/>
                    </w:rPr>
                  </w:pPr>
                  <w:r>
                    <w:rPr>
                      <w:rFonts w:hint="eastAsia"/>
                      <w:color w:val="auto"/>
                      <w:spacing w:val="-5"/>
                      <w:highlight w:val="none"/>
                    </w:rPr>
                    <w:t>海外市场</w:t>
                  </w:r>
                </w:p>
              </w:tc>
              <w:tc>
                <w:tcPr>
                  <w:tcW w:w="841" w:type="pct"/>
                  <w:vAlign w:val="center"/>
                </w:tcPr>
                <w:p>
                  <w:pPr>
                    <w:pStyle w:val="34"/>
                    <w:widowControl w:val="0"/>
                    <w:rPr>
                      <w:color w:val="auto"/>
                      <w:spacing w:val="-5"/>
                      <w:highlight w:val="none"/>
                    </w:rPr>
                  </w:pPr>
                  <w:r>
                    <w:rPr>
                      <w:rFonts w:hint="eastAsia"/>
                      <w:color w:val="auto"/>
                      <w:highlight w:val="none"/>
                    </w:rPr>
                    <w:t>B矿堆位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rFonts w:hint="eastAsia"/>
                      <w:color w:val="auto"/>
                      <w:highlight w:val="none"/>
                    </w:rPr>
                    <w:t>3</w:t>
                  </w:r>
                </w:p>
              </w:tc>
              <w:tc>
                <w:tcPr>
                  <w:tcW w:w="1254" w:type="pct"/>
                  <w:vAlign w:val="center"/>
                </w:tcPr>
                <w:p>
                  <w:pPr>
                    <w:adjustRightInd w:val="0"/>
                    <w:snapToGrid w:val="0"/>
                    <w:jc w:val="center"/>
                    <w:rPr>
                      <w:bCs/>
                      <w:color w:val="auto"/>
                      <w:szCs w:val="21"/>
                      <w:highlight w:val="none"/>
                    </w:rPr>
                  </w:pPr>
                  <w:r>
                    <w:rPr>
                      <w:rFonts w:hint="eastAsia"/>
                      <w:bCs/>
                      <w:color w:val="auto"/>
                      <w:szCs w:val="21"/>
                      <w:highlight w:val="none"/>
                    </w:rPr>
                    <w:t>新鲜用水</w:t>
                  </w:r>
                </w:p>
              </w:tc>
              <w:tc>
                <w:tcPr>
                  <w:tcW w:w="753" w:type="pct"/>
                  <w:vAlign w:val="center"/>
                </w:tcPr>
                <w:p>
                  <w:pPr>
                    <w:pStyle w:val="34"/>
                    <w:widowControl w:val="0"/>
                    <w:rPr>
                      <w:color w:val="auto"/>
                      <w:spacing w:val="-2"/>
                      <w:highlight w:val="none"/>
                    </w:rPr>
                  </w:pPr>
                  <w:r>
                    <w:rPr>
                      <w:rFonts w:hint="eastAsia"/>
                      <w:color w:val="auto"/>
                      <w:spacing w:val="-2"/>
                      <w:highlight w:val="none"/>
                      <w:lang w:val="en-US" w:eastAsia="zh-CN"/>
                    </w:rPr>
                    <w:t>23984.4</w:t>
                  </w:r>
                  <w:r>
                    <w:rPr>
                      <w:rFonts w:hint="eastAsia"/>
                      <w:color w:val="auto"/>
                      <w:spacing w:val="-2"/>
                      <w:highlight w:val="none"/>
                    </w:rPr>
                    <w:t>吨</w:t>
                  </w:r>
                </w:p>
              </w:tc>
              <w:tc>
                <w:tcPr>
                  <w:tcW w:w="841" w:type="pct"/>
                  <w:vAlign w:val="center"/>
                </w:tcPr>
                <w:p>
                  <w:pPr>
                    <w:pStyle w:val="34"/>
                    <w:widowControl w:val="0"/>
                    <w:rPr>
                      <w:color w:val="auto"/>
                      <w:spacing w:val="-5"/>
                      <w:highlight w:val="none"/>
                    </w:rPr>
                  </w:pPr>
                  <w:r>
                    <w:rPr>
                      <w:rFonts w:hint="eastAsia"/>
                      <w:color w:val="auto"/>
                      <w:spacing w:val="-5"/>
                      <w:highlight w:val="none"/>
                    </w:rPr>
                    <w:t>/</w:t>
                  </w:r>
                </w:p>
              </w:tc>
              <w:tc>
                <w:tcPr>
                  <w:tcW w:w="841" w:type="pct"/>
                  <w:vAlign w:val="center"/>
                </w:tcPr>
                <w:p>
                  <w:pPr>
                    <w:pStyle w:val="34"/>
                    <w:widowControl w:val="0"/>
                    <w:rPr>
                      <w:color w:val="auto"/>
                      <w:spacing w:val="-5"/>
                      <w:highlight w:val="none"/>
                    </w:rPr>
                  </w:pPr>
                  <w:r>
                    <w:rPr>
                      <w:rFonts w:hint="eastAsia"/>
                      <w:color w:val="auto"/>
                      <w:spacing w:val="-5"/>
                      <w:highlight w:val="none"/>
                    </w:rPr>
                    <w:t>园区管网</w:t>
                  </w:r>
                </w:p>
              </w:tc>
              <w:tc>
                <w:tcPr>
                  <w:tcW w:w="841" w:type="pct"/>
                  <w:vAlign w:val="center"/>
                </w:tcPr>
                <w:p>
                  <w:pPr>
                    <w:pStyle w:val="34"/>
                    <w:widowControl w:val="0"/>
                    <w:rPr>
                      <w:color w:val="auto"/>
                      <w:spacing w:val="-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rFonts w:hint="eastAsia"/>
                      <w:color w:val="auto"/>
                      <w:highlight w:val="none"/>
                    </w:rPr>
                    <w:t>4</w:t>
                  </w:r>
                </w:p>
              </w:tc>
              <w:tc>
                <w:tcPr>
                  <w:tcW w:w="1254" w:type="pct"/>
                  <w:vAlign w:val="center"/>
                </w:tcPr>
                <w:p>
                  <w:pPr>
                    <w:adjustRightInd w:val="0"/>
                    <w:snapToGrid w:val="0"/>
                    <w:jc w:val="center"/>
                    <w:rPr>
                      <w:bCs/>
                      <w:color w:val="auto"/>
                      <w:szCs w:val="21"/>
                      <w:highlight w:val="none"/>
                    </w:rPr>
                  </w:pPr>
                  <w:r>
                    <w:rPr>
                      <w:rFonts w:hint="eastAsia"/>
                      <w:bCs/>
                      <w:color w:val="auto"/>
                      <w:szCs w:val="21"/>
                      <w:highlight w:val="none"/>
                    </w:rPr>
                    <w:t>电</w:t>
                  </w:r>
                </w:p>
              </w:tc>
              <w:tc>
                <w:tcPr>
                  <w:tcW w:w="753" w:type="pct"/>
                  <w:vAlign w:val="center"/>
                </w:tcPr>
                <w:p>
                  <w:pPr>
                    <w:pStyle w:val="34"/>
                    <w:widowControl w:val="0"/>
                    <w:rPr>
                      <w:color w:val="auto"/>
                      <w:spacing w:val="-2"/>
                      <w:highlight w:val="none"/>
                    </w:rPr>
                  </w:pPr>
                  <w:r>
                    <w:rPr>
                      <w:rFonts w:hint="eastAsia"/>
                      <w:color w:val="auto"/>
                      <w:spacing w:val="-2"/>
                      <w:highlight w:val="none"/>
                      <w:lang w:val="en-US" w:eastAsia="zh-CN"/>
                    </w:rPr>
                    <w:t>771.3</w:t>
                  </w:r>
                  <w:r>
                    <w:rPr>
                      <w:rFonts w:hint="eastAsia"/>
                      <w:color w:val="auto"/>
                      <w:spacing w:val="-2"/>
                      <w:highlight w:val="none"/>
                    </w:rPr>
                    <w:t>万kwh</w:t>
                  </w:r>
                </w:p>
              </w:tc>
              <w:tc>
                <w:tcPr>
                  <w:tcW w:w="841" w:type="pct"/>
                  <w:vAlign w:val="center"/>
                </w:tcPr>
                <w:p>
                  <w:pPr>
                    <w:pStyle w:val="34"/>
                    <w:widowControl w:val="0"/>
                    <w:rPr>
                      <w:color w:val="auto"/>
                      <w:spacing w:val="-5"/>
                      <w:highlight w:val="none"/>
                    </w:rPr>
                  </w:pPr>
                  <w:r>
                    <w:rPr>
                      <w:rFonts w:hint="eastAsia"/>
                      <w:color w:val="auto"/>
                      <w:spacing w:val="-5"/>
                      <w:highlight w:val="none"/>
                    </w:rPr>
                    <w:t>/</w:t>
                  </w:r>
                </w:p>
              </w:tc>
              <w:tc>
                <w:tcPr>
                  <w:tcW w:w="841" w:type="pct"/>
                  <w:vAlign w:val="center"/>
                </w:tcPr>
                <w:p>
                  <w:pPr>
                    <w:pStyle w:val="34"/>
                    <w:widowControl w:val="0"/>
                    <w:rPr>
                      <w:color w:val="auto"/>
                      <w:spacing w:val="-5"/>
                      <w:highlight w:val="none"/>
                    </w:rPr>
                  </w:pPr>
                  <w:r>
                    <w:rPr>
                      <w:rFonts w:hint="eastAsia"/>
                      <w:color w:val="auto"/>
                      <w:spacing w:val="-5"/>
                      <w:highlight w:val="none"/>
                    </w:rPr>
                    <w:t>园区电网</w:t>
                  </w:r>
                </w:p>
              </w:tc>
              <w:tc>
                <w:tcPr>
                  <w:tcW w:w="841" w:type="pct"/>
                  <w:vAlign w:val="center"/>
                </w:tcPr>
                <w:p>
                  <w:pPr>
                    <w:pStyle w:val="34"/>
                    <w:widowControl w:val="0"/>
                    <w:rPr>
                      <w:color w:val="auto"/>
                      <w:spacing w:val="-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color w:val="auto"/>
                      <w:highlight w:val="none"/>
                    </w:rPr>
                  </w:pPr>
                  <w:r>
                    <w:rPr>
                      <w:rFonts w:hint="eastAsia"/>
                      <w:color w:val="auto"/>
                      <w:highlight w:val="none"/>
                    </w:rPr>
                    <w:t>5</w:t>
                  </w:r>
                </w:p>
              </w:tc>
              <w:tc>
                <w:tcPr>
                  <w:tcW w:w="1254" w:type="pct"/>
                  <w:vAlign w:val="center"/>
                </w:tcPr>
                <w:p>
                  <w:pPr>
                    <w:adjustRightInd w:val="0"/>
                    <w:snapToGrid w:val="0"/>
                    <w:jc w:val="center"/>
                    <w:rPr>
                      <w:bCs/>
                      <w:color w:val="auto"/>
                      <w:szCs w:val="21"/>
                      <w:highlight w:val="none"/>
                    </w:rPr>
                  </w:pPr>
                  <w:r>
                    <w:rPr>
                      <w:rFonts w:hint="eastAsia"/>
                      <w:bCs/>
                      <w:color w:val="auto"/>
                      <w:szCs w:val="21"/>
                      <w:highlight w:val="none"/>
                    </w:rPr>
                    <w:t>机油</w:t>
                  </w:r>
                </w:p>
              </w:tc>
              <w:tc>
                <w:tcPr>
                  <w:tcW w:w="753" w:type="pct"/>
                  <w:vAlign w:val="center"/>
                </w:tcPr>
                <w:p>
                  <w:pPr>
                    <w:pStyle w:val="34"/>
                    <w:widowControl w:val="0"/>
                    <w:rPr>
                      <w:color w:val="auto"/>
                      <w:spacing w:val="-2"/>
                      <w:highlight w:val="none"/>
                    </w:rPr>
                  </w:pPr>
                  <w:r>
                    <w:rPr>
                      <w:rFonts w:hint="eastAsia"/>
                      <w:color w:val="auto"/>
                      <w:spacing w:val="-2"/>
                      <w:highlight w:val="none"/>
                    </w:rPr>
                    <w:t>2.0吨</w:t>
                  </w:r>
                </w:p>
              </w:tc>
              <w:tc>
                <w:tcPr>
                  <w:tcW w:w="841" w:type="pct"/>
                  <w:vAlign w:val="center"/>
                </w:tcPr>
                <w:p>
                  <w:pPr>
                    <w:pStyle w:val="34"/>
                    <w:widowControl w:val="0"/>
                    <w:rPr>
                      <w:color w:val="auto"/>
                      <w:spacing w:val="-5"/>
                      <w:highlight w:val="none"/>
                    </w:rPr>
                  </w:pPr>
                  <w:r>
                    <w:rPr>
                      <w:rFonts w:hint="eastAsia"/>
                      <w:color w:val="auto"/>
                      <w:spacing w:val="-5"/>
                      <w:highlight w:val="none"/>
                    </w:rPr>
                    <w:t>0.4吨</w:t>
                  </w:r>
                </w:p>
              </w:tc>
              <w:tc>
                <w:tcPr>
                  <w:tcW w:w="841" w:type="pct"/>
                  <w:vAlign w:val="center"/>
                </w:tcPr>
                <w:p>
                  <w:pPr>
                    <w:pStyle w:val="34"/>
                    <w:widowControl w:val="0"/>
                    <w:rPr>
                      <w:color w:val="auto"/>
                      <w:spacing w:val="-5"/>
                      <w:highlight w:val="none"/>
                    </w:rPr>
                  </w:pPr>
                  <w:r>
                    <w:rPr>
                      <w:rFonts w:hint="eastAsia"/>
                      <w:color w:val="auto"/>
                      <w:spacing w:val="-5"/>
                      <w:highlight w:val="none"/>
                      <w:lang w:val="en-US" w:eastAsia="zh-CN"/>
                    </w:rPr>
                    <w:t>外购</w:t>
                  </w:r>
                </w:p>
              </w:tc>
              <w:tc>
                <w:tcPr>
                  <w:tcW w:w="841" w:type="pct"/>
                  <w:vAlign w:val="center"/>
                </w:tcPr>
                <w:p>
                  <w:pPr>
                    <w:pStyle w:val="34"/>
                    <w:widowControl w:val="0"/>
                    <w:rPr>
                      <w:color w:val="auto"/>
                      <w:spacing w:val="-5"/>
                      <w:highlight w:val="none"/>
                    </w:rPr>
                  </w:pPr>
                  <w:r>
                    <w:rPr>
                      <w:rFonts w:hint="eastAsia"/>
                      <w:color w:val="auto"/>
                      <w:spacing w:val="-5"/>
                      <w:highlight w:val="none"/>
                    </w:rPr>
                    <w:t>铁桶、密封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rFonts w:hint="eastAsia" w:eastAsia="宋体"/>
                      <w:color w:val="auto"/>
                      <w:highlight w:val="none"/>
                      <w:lang w:val="en-US" w:eastAsia="zh-CN"/>
                    </w:rPr>
                  </w:pPr>
                  <w:r>
                    <w:rPr>
                      <w:rFonts w:hint="eastAsia"/>
                      <w:color w:val="auto"/>
                      <w:highlight w:val="none"/>
                      <w:lang w:val="en-US" w:eastAsia="zh-CN"/>
                    </w:rPr>
                    <w:t>6</w:t>
                  </w:r>
                </w:p>
              </w:tc>
              <w:tc>
                <w:tcPr>
                  <w:tcW w:w="1254" w:type="pct"/>
                  <w:vAlign w:val="center"/>
                </w:tcPr>
                <w:p>
                  <w:pPr>
                    <w:adjustRightInd w:val="0"/>
                    <w:snapToGrid w:val="0"/>
                    <w:jc w:val="center"/>
                    <w:rPr>
                      <w:rFonts w:hint="eastAsia" w:eastAsia="宋体"/>
                      <w:bCs/>
                      <w:color w:val="auto"/>
                      <w:szCs w:val="21"/>
                      <w:highlight w:val="none"/>
                      <w:lang w:val="en-US" w:eastAsia="zh-CN"/>
                    </w:rPr>
                  </w:pPr>
                  <w:r>
                    <w:rPr>
                      <w:rFonts w:hint="eastAsia"/>
                      <w:bCs/>
                      <w:color w:val="auto"/>
                      <w:szCs w:val="21"/>
                      <w:highlight w:val="none"/>
                      <w:lang w:val="en-US" w:eastAsia="zh-CN"/>
                    </w:rPr>
                    <w:t>PAC</w:t>
                  </w:r>
                </w:p>
              </w:tc>
              <w:tc>
                <w:tcPr>
                  <w:tcW w:w="753" w:type="pct"/>
                  <w:vAlign w:val="center"/>
                </w:tcPr>
                <w:p>
                  <w:pPr>
                    <w:pStyle w:val="34"/>
                    <w:widowControl w:val="0"/>
                    <w:rPr>
                      <w:rFonts w:hint="default" w:eastAsia="宋体"/>
                      <w:color w:val="auto"/>
                      <w:spacing w:val="-2"/>
                      <w:highlight w:val="none"/>
                      <w:lang w:val="en-US" w:eastAsia="zh-CN"/>
                    </w:rPr>
                  </w:pPr>
                  <w:r>
                    <w:rPr>
                      <w:rFonts w:hint="eastAsia"/>
                      <w:color w:val="auto"/>
                      <w:spacing w:val="-2"/>
                      <w:highlight w:val="none"/>
                      <w:lang w:val="en-US" w:eastAsia="zh-CN"/>
                    </w:rPr>
                    <w:t>0.5</w:t>
                  </w:r>
                  <w:r>
                    <w:rPr>
                      <w:rFonts w:hint="eastAsia"/>
                      <w:color w:val="auto"/>
                      <w:spacing w:val="-2"/>
                      <w:highlight w:val="none"/>
                    </w:rPr>
                    <w:t>吨</w:t>
                  </w:r>
                </w:p>
              </w:tc>
              <w:tc>
                <w:tcPr>
                  <w:tcW w:w="841" w:type="pct"/>
                  <w:vAlign w:val="center"/>
                </w:tcPr>
                <w:p>
                  <w:pPr>
                    <w:pStyle w:val="34"/>
                    <w:widowControl w:val="0"/>
                    <w:rPr>
                      <w:rFonts w:hint="default" w:eastAsia="宋体"/>
                      <w:color w:val="auto"/>
                      <w:spacing w:val="-5"/>
                      <w:highlight w:val="none"/>
                      <w:lang w:val="en-US" w:eastAsia="zh-CN"/>
                    </w:rPr>
                  </w:pPr>
                  <w:r>
                    <w:rPr>
                      <w:rFonts w:hint="eastAsia"/>
                      <w:color w:val="auto"/>
                      <w:spacing w:val="-5"/>
                      <w:highlight w:val="none"/>
                      <w:lang w:val="en-US" w:eastAsia="zh-CN"/>
                    </w:rPr>
                    <w:t>0.01</w:t>
                  </w:r>
                  <w:r>
                    <w:rPr>
                      <w:rFonts w:hint="eastAsia"/>
                      <w:color w:val="auto"/>
                      <w:spacing w:val="-2"/>
                      <w:highlight w:val="none"/>
                    </w:rPr>
                    <w:t>吨</w:t>
                  </w:r>
                </w:p>
              </w:tc>
              <w:tc>
                <w:tcPr>
                  <w:tcW w:w="841" w:type="pct"/>
                  <w:vAlign w:val="center"/>
                </w:tcPr>
                <w:p>
                  <w:pPr>
                    <w:pStyle w:val="34"/>
                    <w:widowControl w:val="0"/>
                    <w:rPr>
                      <w:rFonts w:hint="eastAsia" w:eastAsia="宋体"/>
                      <w:color w:val="auto"/>
                      <w:spacing w:val="-5"/>
                      <w:highlight w:val="none"/>
                      <w:lang w:val="en-US" w:eastAsia="zh-CN"/>
                    </w:rPr>
                  </w:pPr>
                  <w:r>
                    <w:rPr>
                      <w:rFonts w:hint="eastAsia"/>
                      <w:color w:val="auto"/>
                      <w:spacing w:val="-5"/>
                      <w:highlight w:val="none"/>
                      <w:lang w:val="en-US" w:eastAsia="zh-CN"/>
                    </w:rPr>
                    <w:t>外购</w:t>
                  </w:r>
                </w:p>
              </w:tc>
              <w:tc>
                <w:tcPr>
                  <w:tcW w:w="841" w:type="pct"/>
                  <w:vAlign w:val="center"/>
                </w:tcPr>
                <w:p>
                  <w:pPr>
                    <w:pStyle w:val="34"/>
                    <w:widowControl w:val="0"/>
                    <w:rPr>
                      <w:rFonts w:hint="eastAsia" w:eastAsia="宋体"/>
                      <w:color w:val="auto"/>
                      <w:spacing w:val="-5"/>
                      <w:highlight w:val="none"/>
                      <w:lang w:val="en-US" w:eastAsia="zh-CN"/>
                    </w:rPr>
                  </w:pPr>
                  <w:r>
                    <w:rPr>
                      <w:rFonts w:hint="eastAsia"/>
                      <w:color w:val="auto"/>
                      <w:spacing w:val="-5"/>
                      <w:highlight w:val="none"/>
                      <w:lang w:val="en-US"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vAlign w:val="center"/>
                </w:tcPr>
                <w:p>
                  <w:pPr>
                    <w:pStyle w:val="34"/>
                    <w:widowControl w:val="0"/>
                    <w:rPr>
                      <w:rFonts w:hint="default"/>
                      <w:color w:val="auto"/>
                      <w:highlight w:val="none"/>
                      <w:lang w:val="en-US" w:eastAsia="zh-CN"/>
                    </w:rPr>
                  </w:pPr>
                  <w:r>
                    <w:rPr>
                      <w:rFonts w:hint="eastAsia"/>
                      <w:color w:val="auto"/>
                      <w:highlight w:val="none"/>
                      <w:lang w:val="en-US" w:eastAsia="zh-CN"/>
                    </w:rPr>
                    <w:t>7</w:t>
                  </w:r>
                </w:p>
              </w:tc>
              <w:tc>
                <w:tcPr>
                  <w:tcW w:w="1254" w:type="pct"/>
                  <w:vAlign w:val="center"/>
                </w:tcPr>
                <w:p>
                  <w:pPr>
                    <w:adjustRightInd w:val="0"/>
                    <w:snapToGrid w:val="0"/>
                    <w:jc w:val="center"/>
                    <w:rPr>
                      <w:rFonts w:hint="default"/>
                      <w:bCs/>
                      <w:color w:val="auto"/>
                      <w:szCs w:val="21"/>
                      <w:highlight w:val="none"/>
                      <w:lang w:val="en-US" w:eastAsia="zh-CN"/>
                    </w:rPr>
                  </w:pPr>
                  <w:r>
                    <w:rPr>
                      <w:rFonts w:hint="eastAsia"/>
                      <w:bCs/>
                      <w:color w:val="auto"/>
                      <w:szCs w:val="21"/>
                      <w:highlight w:val="none"/>
                      <w:lang w:val="en-US" w:eastAsia="zh-CN"/>
                    </w:rPr>
                    <w:t>PAM</w:t>
                  </w:r>
                </w:p>
              </w:tc>
              <w:tc>
                <w:tcPr>
                  <w:tcW w:w="753" w:type="pct"/>
                  <w:vAlign w:val="center"/>
                </w:tcPr>
                <w:p>
                  <w:pPr>
                    <w:pStyle w:val="34"/>
                    <w:widowControl w:val="0"/>
                    <w:rPr>
                      <w:rFonts w:hint="default" w:eastAsia="宋体"/>
                      <w:color w:val="auto"/>
                      <w:spacing w:val="-2"/>
                      <w:highlight w:val="none"/>
                      <w:lang w:val="en-US" w:eastAsia="zh-CN"/>
                    </w:rPr>
                  </w:pPr>
                  <w:r>
                    <w:rPr>
                      <w:rFonts w:hint="eastAsia"/>
                      <w:color w:val="auto"/>
                      <w:spacing w:val="-2"/>
                      <w:highlight w:val="none"/>
                      <w:lang w:val="en-US" w:eastAsia="zh-CN"/>
                    </w:rPr>
                    <w:t>0.3</w:t>
                  </w:r>
                  <w:r>
                    <w:rPr>
                      <w:rFonts w:hint="eastAsia"/>
                      <w:color w:val="auto"/>
                      <w:spacing w:val="-2"/>
                      <w:highlight w:val="none"/>
                    </w:rPr>
                    <w:t>吨</w:t>
                  </w:r>
                </w:p>
              </w:tc>
              <w:tc>
                <w:tcPr>
                  <w:tcW w:w="841" w:type="pct"/>
                  <w:vAlign w:val="center"/>
                </w:tcPr>
                <w:p>
                  <w:pPr>
                    <w:pStyle w:val="34"/>
                    <w:widowControl w:val="0"/>
                    <w:rPr>
                      <w:rFonts w:hint="eastAsia"/>
                      <w:color w:val="auto"/>
                      <w:spacing w:val="-5"/>
                      <w:highlight w:val="none"/>
                    </w:rPr>
                  </w:pPr>
                  <w:r>
                    <w:rPr>
                      <w:rFonts w:hint="eastAsia"/>
                      <w:color w:val="auto"/>
                      <w:spacing w:val="-2"/>
                      <w:highlight w:val="none"/>
                      <w:lang w:val="en-US" w:eastAsia="zh-CN"/>
                    </w:rPr>
                    <w:t>0.01</w:t>
                  </w:r>
                  <w:r>
                    <w:rPr>
                      <w:rFonts w:hint="eastAsia"/>
                      <w:color w:val="auto"/>
                      <w:spacing w:val="-2"/>
                      <w:highlight w:val="none"/>
                    </w:rPr>
                    <w:t>吨</w:t>
                  </w:r>
                </w:p>
              </w:tc>
              <w:tc>
                <w:tcPr>
                  <w:tcW w:w="841" w:type="pct"/>
                  <w:vAlign w:val="center"/>
                </w:tcPr>
                <w:p>
                  <w:pPr>
                    <w:pStyle w:val="34"/>
                    <w:widowControl w:val="0"/>
                    <w:rPr>
                      <w:color w:val="auto"/>
                      <w:spacing w:val="-5"/>
                      <w:highlight w:val="none"/>
                    </w:rPr>
                  </w:pPr>
                  <w:r>
                    <w:rPr>
                      <w:rFonts w:hint="eastAsia"/>
                      <w:color w:val="auto"/>
                      <w:spacing w:val="-5"/>
                      <w:highlight w:val="none"/>
                      <w:lang w:val="en-US" w:eastAsia="zh-CN"/>
                    </w:rPr>
                    <w:t>外购</w:t>
                  </w:r>
                </w:p>
              </w:tc>
              <w:tc>
                <w:tcPr>
                  <w:tcW w:w="841" w:type="pct"/>
                  <w:vAlign w:val="center"/>
                </w:tcPr>
                <w:p>
                  <w:pPr>
                    <w:pStyle w:val="34"/>
                    <w:widowControl w:val="0"/>
                    <w:rPr>
                      <w:rFonts w:hint="eastAsia"/>
                      <w:color w:val="auto"/>
                      <w:spacing w:val="-5"/>
                      <w:highlight w:val="none"/>
                    </w:rPr>
                  </w:pPr>
                  <w:r>
                    <w:rPr>
                      <w:rFonts w:hint="eastAsia"/>
                      <w:color w:val="auto"/>
                      <w:spacing w:val="-5"/>
                      <w:highlight w:val="none"/>
                      <w:lang w:val="en-US" w:eastAsia="zh-CN"/>
                    </w:rPr>
                    <w:t>袋装</w:t>
                  </w:r>
                </w:p>
              </w:tc>
            </w:tr>
          </w:tbl>
          <w:p>
            <w:pPr>
              <w:pStyle w:val="30"/>
              <w:ind w:firstLine="480"/>
              <w:rPr>
                <w:rFonts w:hint="eastAsia"/>
                <w:color w:val="auto"/>
                <w:szCs w:val="22"/>
                <w:highlight w:val="none"/>
              </w:rPr>
            </w:pPr>
          </w:p>
          <w:p>
            <w:pPr>
              <w:pStyle w:val="36"/>
              <w:rPr>
                <w:color w:val="auto"/>
                <w:highlight w:val="none"/>
              </w:rPr>
            </w:pPr>
            <w:r>
              <w:rPr>
                <w:rFonts w:hint="eastAsia"/>
                <w:color w:val="auto"/>
                <w:highlight w:val="none"/>
              </w:rPr>
              <w:t>表2.1.6  PAC和PAM理化性质一览表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380"/>
              <w:gridCol w:w="6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34"/>
                    <w:widowControl w:val="0"/>
                    <w:rPr>
                      <w:color w:val="auto"/>
                      <w:highlight w:val="none"/>
                    </w:rPr>
                  </w:pPr>
                  <w:r>
                    <w:rPr>
                      <w:rFonts w:hint="eastAsia"/>
                      <w:color w:val="auto"/>
                      <w:highlight w:val="none"/>
                    </w:rPr>
                    <w:t>序号</w:t>
                  </w:r>
                </w:p>
              </w:tc>
              <w:tc>
                <w:tcPr>
                  <w:tcW w:w="786" w:type="pct"/>
                  <w:vAlign w:val="center"/>
                </w:tcPr>
                <w:p>
                  <w:pPr>
                    <w:pStyle w:val="34"/>
                    <w:widowControl w:val="0"/>
                    <w:rPr>
                      <w:color w:val="auto"/>
                      <w:highlight w:val="none"/>
                    </w:rPr>
                  </w:pPr>
                  <w:r>
                    <w:rPr>
                      <w:rFonts w:hint="eastAsia"/>
                      <w:color w:val="auto"/>
                      <w:highlight w:val="none"/>
                    </w:rPr>
                    <w:t>项目</w:t>
                  </w:r>
                </w:p>
              </w:tc>
              <w:tc>
                <w:tcPr>
                  <w:tcW w:w="3843" w:type="pct"/>
                  <w:vAlign w:val="center"/>
                </w:tcPr>
                <w:p>
                  <w:pPr>
                    <w:pStyle w:val="34"/>
                    <w:widowControl w:val="0"/>
                    <w:rPr>
                      <w:rFonts w:hint="eastAsia" w:eastAsia="宋体"/>
                      <w:color w:val="auto"/>
                      <w:highlight w:val="none"/>
                      <w:lang w:eastAsia="zh-CN"/>
                    </w:rPr>
                  </w:pPr>
                  <w:r>
                    <w:rPr>
                      <w:rFonts w:hint="eastAsia"/>
                      <w:color w:val="auto"/>
                      <w:highlight w:val="none"/>
                      <w:lang w:val="en-US" w:eastAsia="zh-CN"/>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34"/>
                    <w:widowControl w:val="0"/>
                    <w:rPr>
                      <w:rFonts w:hint="eastAsia" w:eastAsia="宋体"/>
                      <w:color w:val="auto"/>
                      <w:highlight w:val="none"/>
                      <w:lang w:eastAsia="zh-CN"/>
                    </w:rPr>
                  </w:pPr>
                  <w:r>
                    <w:rPr>
                      <w:rFonts w:hint="eastAsia"/>
                      <w:color w:val="auto"/>
                      <w:highlight w:val="none"/>
                      <w:lang w:val="en-US" w:eastAsia="zh-CN"/>
                    </w:rPr>
                    <w:t>1</w:t>
                  </w:r>
                </w:p>
              </w:tc>
              <w:tc>
                <w:tcPr>
                  <w:tcW w:w="1392" w:type="dxa"/>
                  <w:vAlign w:val="center"/>
                </w:tcPr>
                <w:p>
                  <w:pPr>
                    <w:adjustRightInd w:val="0"/>
                    <w:snapToGrid w:val="0"/>
                    <w:jc w:val="center"/>
                    <w:rPr>
                      <w:color w:val="auto"/>
                      <w:highlight w:val="none"/>
                    </w:rPr>
                  </w:pPr>
                  <w:r>
                    <w:rPr>
                      <w:rFonts w:hint="eastAsia"/>
                      <w:bCs/>
                      <w:color w:val="auto"/>
                      <w:szCs w:val="21"/>
                      <w:highlight w:val="none"/>
                      <w:lang w:val="en-US" w:eastAsia="zh-CN"/>
                    </w:rPr>
                    <w:t>PAC</w:t>
                  </w:r>
                </w:p>
              </w:tc>
              <w:tc>
                <w:tcPr>
                  <w:tcW w:w="3843" w:type="pct"/>
                  <w:vAlign w:val="center"/>
                </w:tcPr>
                <w:p>
                  <w:pPr>
                    <w:pStyle w:val="34"/>
                    <w:widowControl w:val="0"/>
                    <w:jc w:val="left"/>
                    <w:rPr>
                      <w:color w:val="auto"/>
                      <w:highlight w:val="none"/>
                    </w:rPr>
                  </w:pPr>
                  <w:r>
                    <w:rPr>
                      <w:rFonts w:hint="eastAsia"/>
                      <w:color w:val="auto"/>
                      <w:highlight w:val="none"/>
                    </w:rPr>
                    <w:t>无色或黄色固体，熔点190℃（253kPa），易溶于水，液体密度≥1.12g/cm</w:t>
                  </w:r>
                  <w:r>
                    <w:rPr>
                      <w:rFonts w:hint="eastAsia"/>
                      <w:color w:val="auto"/>
                      <w:highlight w:val="none"/>
                      <w:vertAlign w:val="superscript"/>
                    </w:rPr>
                    <w:t>3</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pPr>
                    <w:pStyle w:val="34"/>
                    <w:widowControl w:val="0"/>
                    <w:rPr>
                      <w:rFonts w:hint="eastAsia" w:eastAsia="宋体"/>
                      <w:color w:val="auto"/>
                      <w:highlight w:val="none"/>
                      <w:lang w:eastAsia="zh-CN"/>
                    </w:rPr>
                  </w:pPr>
                  <w:r>
                    <w:rPr>
                      <w:rFonts w:hint="eastAsia"/>
                      <w:color w:val="auto"/>
                      <w:highlight w:val="none"/>
                      <w:lang w:val="en-US" w:eastAsia="zh-CN"/>
                    </w:rPr>
                    <w:t>2</w:t>
                  </w:r>
                </w:p>
              </w:tc>
              <w:tc>
                <w:tcPr>
                  <w:tcW w:w="1392" w:type="dxa"/>
                  <w:vAlign w:val="center"/>
                </w:tcPr>
                <w:p>
                  <w:pPr>
                    <w:adjustRightInd w:val="0"/>
                    <w:snapToGrid w:val="0"/>
                    <w:jc w:val="center"/>
                    <w:rPr>
                      <w:color w:val="auto"/>
                      <w:highlight w:val="none"/>
                    </w:rPr>
                  </w:pPr>
                  <w:r>
                    <w:rPr>
                      <w:rFonts w:hint="eastAsia"/>
                      <w:bCs/>
                      <w:color w:val="auto"/>
                      <w:szCs w:val="21"/>
                      <w:highlight w:val="none"/>
                      <w:lang w:val="en-US" w:eastAsia="zh-CN"/>
                    </w:rPr>
                    <w:t>PAM</w:t>
                  </w:r>
                </w:p>
              </w:tc>
              <w:tc>
                <w:tcPr>
                  <w:tcW w:w="3843" w:type="pct"/>
                  <w:vAlign w:val="center"/>
                </w:tcPr>
                <w:p>
                  <w:pPr>
                    <w:pStyle w:val="34"/>
                    <w:widowControl w:val="0"/>
                    <w:jc w:val="left"/>
                    <w:rPr>
                      <w:color w:val="auto"/>
                      <w:highlight w:val="none"/>
                    </w:rPr>
                  </w:pPr>
                  <w:r>
                    <w:rPr>
                      <w:rFonts w:hint="eastAsia"/>
                      <w:color w:val="auto"/>
                      <w:highlight w:val="none"/>
                    </w:rPr>
                    <w:t>白色粉末或半透明颗粒，无臭，密度1.302g/cm</w:t>
                  </w:r>
                  <w:r>
                    <w:rPr>
                      <w:rFonts w:hint="eastAsia"/>
                      <w:color w:val="auto"/>
                      <w:highlight w:val="none"/>
                      <w:vertAlign w:val="superscript"/>
                    </w:rPr>
                    <w:t>3</w:t>
                  </w:r>
                  <w:r>
                    <w:rPr>
                      <w:rFonts w:hint="eastAsia"/>
                      <w:color w:val="auto"/>
                      <w:highlight w:val="none"/>
                    </w:rPr>
                    <w:t>，温度210℃，易溶于水。</w:t>
                  </w:r>
                </w:p>
              </w:tc>
            </w:tr>
          </w:tbl>
          <w:p>
            <w:pPr>
              <w:pStyle w:val="30"/>
              <w:ind w:firstLine="480"/>
              <w:rPr>
                <w:rFonts w:hint="eastAsia"/>
                <w:color w:val="auto"/>
                <w:szCs w:val="22"/>
                <w:highlight w:val="none"/>
              </w:rPr>
            </w:pPr>
          </w:p>
          <w:p>
            <w:pPr>
              <w:pStyle w:val="30"/>
              <w:ind w:firstLine="480"/>
              <w:rPr>
                <w:color w:val="auto"/>
                <w:szCs w:val="22"/>
                <w:highlight w:val="none"/>
              </w:rPr>
            </w:pPr>
            <w:r>
              <w:rPr>
                <w:rFonts w:hint="eastAsia"/>
                <w:color w:val="auto"/>
                <w:szCs w:val="22"/>
                <w:highlight w:val="none"/>
              </w:rPr>
              <w:t>非标铜精矿（A矿）约33.33万t/a，</w:t>
            </w:r>
            <w:r>
              <w:rPr>
                <w:rFonts w:hint="eastAsia"/>
                <w:bCs/>
                <w:color w:val="auto"/>
                <w:highlight w:val="none"/>
              </w:rPr>
              <w:t>标准矿</w:t>
            </w:r>
            <w:r>
              <w:rPr>
                <w:rFonts w:hint="eastAsia"/>
                <w:color w:val="auto"/>
                <w:szCs w:val="22"/>
                <w:highlight w:val="none"/>
              </w:rPr>
              <w:t>（B矿）约66.67万t/a，均从海外市场采购，宁德海关会进行一线进境监管。对于每批次进口的铜精矿，在口岸监管场所宁德海关会根据布控指令实施放射性检测、外来夹杂物检疫和固体废物排查，排除安全准入风险，只有经过海关检验符合国家相关要求后才运往项目生产车间进行混矿。</w:t>
            </w:r>
          </w:p>
          <w:p>
            <w:pPr>
              <w:pStyle w:val="30"/>
              <w:ind w:firstLine="480"/>
              <w:rPr>
                <w:color w:val="auto"/>
                <w:szCs w:val="22"/>
                <w:highlight w:val="none"/>
              </w:rPr>
            </w:pPr>
            <w:r>
              <w:rPr>
                <w:rFonts w:hint="eastAsia"/>
                <w:color w:val="auto"/>
                <w:szCs w:val="22"/>
                <w:highlight w:val="none"/>
              </w:rPr>
              <w:t>原料放射性检测要满足《有色金属矿产品的天然放射性限值》（GB20664-2006）的要求，详见表2.1.6。</w:t>
            </w:r>
          </w:p>
          <w:p>
            <w:pPr>
              <w:pStyle w:val="30"/>
              <w:ind w:firstLine="480"/>
              <w:rPr>
                <w:color w:val="auto"/>
                <w:szCs w:val="22"/>
                <w:highlight w:val="none"/>
              </w:rPr>
            </w:pPr>
            <w:r>
              <w:rPr>
                <w:rFonts w:hint="eastAsia"/>
                <w:color w:val="auto"/>
                <w:szCs w:val="22"/>
                <w:highlight w:val="none"/>
              </w:rPr>
              <w:t>由于铜精矿是法检产品，海关会严格执法检验关，海关会在港口实施放射性检验、外来夹杂物检疫和固体废物排查，一旦不合格将立即退运，只有合格的原料铜精矿才能运往建设单位车间。根据《矿产资源开发利用辐射环境监督管理名录》（生态环境部公告2020年第54号），建设单位不需组织编制辐射环境影响评价专篇。</w:t>
            </w:r>
          </w:p>
          <w:p>
            <w:pPr>
              <w:pStyle w:val="36"/>
              <w:rPr>
                <w:color w:val="auto"/>
                <w:highlight w:val="none"/>
              </w:rPr>
            </w:pPr>
            <w:r>
              <w:rPr>
                <w:rFonts w:hint="eastAsia"/>
                <w:color w:val="auto"/>
                <w:highlight w:val="none"/>
              </w:rPr>
              <w:t>表2.1.</w:t>
            </w:r>
            <w:r>
              <w:rPr>
                <w:rFonts w:hint="eastAsia"/>
                <w:color w:val="auto"/>
                <w:highlight w:val="none"/>
                <w:lang w:val="en-US" w:eastAsia="zh-CN"/>
              </w:rPr>
              <w:t>7</w:t>
            </w:r>
            <w:r>
              <w:rPr>
                <w:rFonts w:hint="eastAsia"/>
                <w:color w:val="auto"/>
                <w:highlight w:val="none"/>
              </w:rPr>
              <w:t xml:space="preserve">  有色金属矿产品的天然放射性限值要求</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80"/>
              <w:gridCol w:w="4541"/>
              <w:gridCol w:w="2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pPr>
                    <w:pStyle w:val="34"/>
                    <w:widowControl w:val="0"/>
                    <w:rPr>
                      <w:color w:val="auto"/>
                      <w:highlight w:val="none"/>
                    </w:rPr>
                  </w:pPr>
                  <w:r>
                    <w:rPr>
                      <w:rFonts w:hint="eastAsia"/>
                      <w:color w:val="auto"/>
                      <w:highlight w:val="none"/>
                    </w:rPr>
                    <w:t>序号</w:t>
                  </w:r>
                </w:p>
              </w:tc>
              <w:tc>
                <w:tcPr>
                  <w:tcW w:w="786" w:type="pct"/>
                  <w:vAlign w:val="center"/>
                </w:tcPr>
                <w:p>
                  <w:pPr>
                    <w:pStyle w:val="34"/>
                    <w:widowControl w:val="0"/>
                    <w:rPr>
                      <w:color w:val="auto"/>
                      <w:highlight w:val="none"/>
                    </w:rPr>
                  </w:pPr>
                  <w:r>
                    <w:rPr>
                      <w:rFonts w:hint="eastAsia"/>
                      <w:color w:val="auto"/>
                      <w:highlight w:val="none"/>
                    </w:rPr>
                    <w:t>项目</w:t>
                  </w:r>
                </w:p>
              </w:tc>
              <w:tc>
                <w:tcPr>
                  <w:tcW w:w="3842" w:type="pct"/>
                  <w:gridSpan w:val="2"/>
                  <w:vAlign w:val="center"/>
                </w:tcPr>
                <w:p>
                  <w:pPr>
                    <w:pStyle w:val="34"/>
                    <w:widowControl w:val="0"/>
                    <w:rPr>
                      <w:color w:val="auto"/>
                      <w:highlight w:val="none"/>
                    </w:rPr>
                  </w:pPr>
                  <w:r>
                    <w:rPr>
                      <w:rFonts w:hint="eastAsia"/>
                      <w:color w:val="auto"/>
                      <w:highlight w:val="none"/>
                    </w:rPr>
                    <w:t>要   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restart"/>
                  <w:vAlign w:val="center"/>
                </w:tcPr>
                <w:p>
                  <w:pPr>
                    <w:pStyle w:val="34"/>
                    <w:widowControl w:val="0"/>
                    <w:rPr>
                      <w:color w:val="auto"/>
                      <w:highlight w:val="none"/>
                    </w:rPr>
                  </w:pPr>
                  <w:r>
                    <w:rPr>
                      <w:rFonts w:hint="eastAsia"/>
                      <w:color w:val="auto"/>
                      <w:highlight w:val="none"/>
                    </w:rPr>
                    <w:t>1</w:t>
                  </w:r>
                </w:p>
              </w:tc>
              <w:tc>
                <w:tcPr>
                  <w:tcW w:w="786" w:type="pct"/>
                  <w:vMerge w:val="restart"/>
                  <w:vAlign w:val="center"/>
                </w:tcPr>
                <w:p>
                  <w:pPr>
                    <w:pStyle w:val="34"/>
                    <w:widowControl w:val="0"/>
                    <w:rPr>
                      <w:color w:val="auto"/>
                      <w:highlight w:val="none"/>
                    </w:rPr>
                  </w:pPr>
                  <w:r>
                    <w:rPr>
                      <w:rFonts w:hint="eastAsia"/>
                      <w:color w:val="auto"/>
                      <w:highlight w:val="none"/>
                    </w:rPr>
                    <w:t>天然放射性核素活度浓度限制值</w:t>
                  </w:r>
                </w:p>
              </w:tc>
              <w:tc>
                <w:tcPr>
                  <w:tcW w:w="2587" w:type="pct"/>
                  <w:vAlign w:val="center"/>
                </w:tcPr>
                <w:p>
                  <w:pPr>
                    <w:pStyle w:val="34"/>
                    <w:widowControl w:val="0"/>
                    <w:rPr>
                      <w:rFonts w:hint="default" w:eastAsia="宋体"/>
                      <w:color w:val="auto"/>
                      <w:highlight w:val="none"/>
                      <w:lang w:val="en-US" w:eastAsia="zh-CN"/>
                    </w:rPr>
                  </w:pPr>
                  <w:r>
                    <w:rPr>
                      <w:rFonts w:hint="eastAsia"/>
                      <w:color w:val="auto"/>
                      <w:highlight w:val="none"/>
                      <w:vertAlign w:val="superscript"/>
                    </w:rPr>
                    <w:t>238</w:t>
                  </w:r>
                  <w:r>
                    <w:rPr>
                      <w:rFonts w:hint="eastAsia"/>
                      <w:color w:val="auto"/>
                      <w:highlight w:val="none"/>
                    </w:rPr>
                    <w:t>U</w:t>
                  </w:r>
                  <w:r>
                    <w:rPr>
                      <w:rFonts w:hint="eastAsia"/>
                      <w:color w:val="auto"/>
                      <w:highlight w:val="none"/>
                      <w:lang w:val="en-US" w:eastAsia="zh-CN"/>
                    </w:rPr>
                    <w:t>衰变系中的任一核素</w:t>
                  </w:r>
                </w:p>
              </w:tc>
              <w:tc>
                <w:tcPr>
                  <w:tcW w:w="1255" w:type="pct"/>
                  <w:vMerge w:val="restart"/>
                  <w:vAlign w:val="center"/>
                </w:tcPr>
                <w:p>
                  <w:pPr>
                    <w:pStyle w:val="34"/>
                    <w:widowControl w:val="0"/>
                    <w:rPr>
                      <w:color w:val="auto"/>
                      <w:highlight w:val="none"/>
                    </w:rPr>
                  </w:pPr>
                  <w:r>
                    <w:rPr>
                      <w:rFonts w:hint="eastAsia"/>
                      <w:color w:val="auto"/>
                      <w:highlight w:val="none"/>
                    </w:rPr>
                    <w:t>≤1Bq/g①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pPr>
                    <w:pStyle w:val="34"/>
                    <w:widowControl w:val="0"/>
                    <w:rPr>
                      <w:color w:val="auto"/>
                      <w:highlight w:val="none"/>
                    </w:rPr>
                  </w:pPr>
                </w:p>
              </w:tc>
              <w:tc>
                <w:tcPr>
                  <w:tcW w:w="786" w:type="pct"/>
                  <w:vMerge w:val="continue"/>
                  <w:vAlign w:val="center"/>
                </w:tcPr>
                <w:p>
                  <w:pPr>
                    <w:pStyle w:val="34"/>
                    <w:widowControl w:val="0"/>
                    <w:rPr>
                      <w:color w:val="auto"/>
                      <w:highlight w:val="none"/>
                    </w:rPr>
                  </w:pPr>
                </w:p>
              </w:tc>
              <w:tc>
                <w:tcPr>
                  <w:tcW w:w="2587" w:type="pct"/>
                  <w:vAlign w:val="center"/>
                </w:tcPr>
                <w:p>
                  <w:pPr>
                    <w:pStyle w:val="34"/>
                    <w:widowControl w:val="0"/>
                    <w:rPr>
                      <w:color w:val="auto"/>
                      <w:highlight w:val="none"/>
                    </w:rPr>
                  </w:pPr>
                  <w:r>
                    <w:rPr>
                      <w:rFonts w:hint="eastAsia"/>
                      <w:color w:val="auto"/>
                      <w:highlight w:val="none"/>
                      <w:vertAlign w:val="superscript"/>
                    </w:rPr>
                    <w:t>22</w:t>
                  </w:r>
                  <w:r>
                    <w:rPr>
                      <w:rFonts w:hint="eastAsia"/>
                      <w:color w:val="auto"/>
                      <w:highlight w:val="none"/>
                      <w:vertAlign w:val="superscript"/>
                      <w:lang w:val="en-US" w:eastAsia="zh-CN"/>
                    </w:rPr>
                    <w:t>6</w:t>
                  </w:r>
                  <w:r>
                    <w:rPr>
                      <w:rFonts w:hint="eastAsia"/>
                      <w:color w:val="auto"/>
                      <w:highlight w:val="none"/>
                    </w:rPr>
                    <w:t>Ra</w:t>
                  </w:r>
                  <w:r>
                    <w:rPr>
                      <w:rFonts w:hint="eastAsia"/>
                      <w:color w:val="auto"/>
                      <w:highlight w:val="none"/>
                      <w:lang w:val="en-US" w:eastAsia="zh-CN"/>
                    </w:rPr>
                    <w:t>衰变系中的任一核素</w:t>
                  </w:r>
                </w:p>
              </w:tc>
              <w:tc>
                <w:tcPr>
                  <w:tcW w:w="1255" w:type="pct"/>
                  <w:vMerge w:val="continue"/>
                  <w:vAlign w:val="center"/>
                </w:tcPr>
                <w:p>
                  <w:pPr>
                    <w:pStyle w:val="34"/>
                    <w:widowControl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pPr>
                    <w:pStyle w:val="34"/>
                    <w:widowControl w:val="0"/>
                    <w:rPr>
                      <w:color w:val="auto"/>
                      <w:highlight w:val="none"/>
                    </w:rPr>
                  </w:pPr>
                </w:p>
              </w:tc>
              <w:tc>
                <w:tcPr>
                  <w:tcW w:w="786" w:type="pct"/>
                  <w:vMerge w:val="continue"/>
                  <w:vAlign w:val="center"/>
                </w:tcPr>
                <w:p>
                  <w:pPr>
                    <w:pStyle w:val="34"/>
                    <w:widowControl w:val="0"/>
                    <w:rPr>
                      <w:color w:val="auto"/>
                      <w:highlight w:val="none"/>
                    </w:rPr>
                  </w:pPr>
                </w:p>
              </w:tc>
              <w:tc>
                <w:tcPr>
                  <w:tcW w:w="2587" w:type="pct"/>
                  <w:vAlign w:val="center"/>
                </w:tcPr>
                <w:p>
                  <w:pPr>
                    <w:pStyle w:val="34"/>
                    <w:widowControl w:val="0"/>
                    <w:rPr>
                      <w:color w:val="auto"/>
                      <w:highlight w:val="none"/>
                    </w:rPr>
                  </w:pPr>
                  <w:r>
                    <w:rPr>
                      <w:rFonts w:hint="eastAsia"/>
                      <w:color w:val="auto"/>
                      <w:highlight w:val="none"/>
                      <w:vertAlign w:val="superscript"/>
                    </w:rPr>
                    <w:t>232</w:t>
                  </w:r>
                  <w:r>
                    <w:rPr>
                      <w:rFonts w:hint="eastAsia"/>
                      <w:color w:val="auto"/>
                      <w:highlight w:val="none"/>
                    </w:rPr>
                    <w:t>Th</w:t>
                  </w:r>
                  <w:r>
                    <w:rPr>
                      <w:rFonts w:hint="eastAsia"/>
                      <w:color w:val="auto"/>
                      <w:highlight w:val="none"/>
                      <w:lang w:val="en-US" w:eastAsia="zh-CN"/>
                    </w:rPr>
                    <w:t>衰变系中的任一核素</w:t>
                  </w:r>
                </w:p>
              </w:tc>
              <w:tc>
                <w:tcPr>
                  <w:tcW w:w="1255" w:type="pct"/>
                  <w:vMerge w:val="continue"/>
                  <w:vAlign w:val="center"/>
                </w:tcPr>
                <w:p>
                  <w:pPr>
                    <w:pStyle w:val="34"/>
                    <w:widowControl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Merge w:val="continue"/>
                  <w:vAlign w:val="center"/>
                </w:tcPr>
                <w:p>
                  <w:pPr>
                    <w:pStyle w:val="34"/>
                    <w:widowControl w:val="0"/>
                    <w:rPr>
                      <w:color w:val="auto"/>
                      <w:highlight w:val="none"/>
                    </w:rPr>
                  </w:pPr>
                </w:p>
              </w:tc>
              <w:tc>
                <w:tcPr>
                  <w:tcW w:w="786" w:type="pct"/>
                  <w:vMerge w:val="continue"/>
                  <w:vAlign w:val="center"/>
                </w:tcPr>
                <w:p>
                  <w:pPr>
                    <w:pStyle w:val="34"/>
                    <w:widowControl w:val="0"/>
                    <w:rPr>
                      <w:color w:val="auto"/>
                      <w:highlight w:val="none"/>
                    </w:rPr>
                  </w:pPr>
                </w:p>
              </w:tc>
              <w:tc>
                <w:tcPr>
                  <w:tcW w:w="2587" w:type="pct"/>
                  <w:vAlign w:val="center"/>
                </w:tcPr>
                <w:p>
                  <w:pPr>
                    <w:pStyle w:val="34"/>
                    <w:widowControl w:val="0"/>
                    <w:rPr>
                      <w:color w:val="auto"/>
                      <w:highlight w:val="none"/>
                    </w:rPr>
                  </w:pPr>
                  <w:r>
                    <w:rPr>
                      <w:rFonts w:hint="eastAsia"/>
                      <w:color w:val="auto"/>
                      <w:highlight w:val="none"/>
                      <w:vertAlign w:val="superscript"/>
                    </w:rPr>
                    <w:t>40</w:t>
                  </w:r>
                  <w:r>
                    <w:rPr>
                      <w:rFonts w:hint="eastAsia"/>
                      <w:color w:val="auto"/>
                      <w:highlight w:val="none"/>
                    </w:rPr>
                    <w:t>K</w:t>
                  </w:r>
                </w:p>
              </w:tc>
              <w:tc>
                <w:tcPr>
                  <w:tcW w:w="1255" w:type="pct"/>
                  <w:vAlign w:val="center"/>
                </w:tcPr>
                <w:p>
                  <w:pPr>
                    <w:pStyle w:val="34"/>
                    <w:widowControl w:val="0"/>
                    <w:rPr>
                      <w:color w:val="auto"/>
                      <w:highlight w:val="none"/>
                    </w:rPr>
                  </w:pPr>
                  <w:r>
                    <w:rPr>
                      <w:rFonts w:hint="eastAsia"/>
                      <w:color w:val="auto"/>
                      <w:highlight w:val="none"/>
                    </w:rPr>
                    <w:t>≤10Bq/g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pPr>
                    <w:pStyle w:val="34"/>
                    <w:widowControl w:val="0"/>
                    <w:rPr>
                      <w:color w:val="auto"/>
                      <w:highlight w:val="none"/>
                    </w:rPr>
                  </w:pPr>
                  <w:r>
                    <w:rPr>
                      <w:rFonts w:hint="eastAsia"/>
                      <w:color w:val="auto"/>
                      <w:highlight w:val="none"/>
                    </w:rPr>
                    <w:t>2</w:t>
                  </w:r>
                </w:p>
              </w:tc>
              <w:tc>
                <w:tcPr>
                  <w:tcW w:w="786" w:type="pct"/>
                  <w:vAlign w:val="center"/>
                </w:tcPr>
                <w:p>
                  <w:pPr>
                    <w:pStyle w:val="34"/>
                    <w:widowControl w:val="0"/>
                    <w:rPr>
                      <w:color w:val="auto"/>
                      <w:highlight w:val="none"/>
                    </w:rPr>
                  </w:pPr>
                  <w:r>
                    <w:rPr>
                      <w:rFonts w:hint="eastAsia"/>
                      <w:color w:val="auto"/>
                      <w:highlight w:val="none"/>
                    </w:rPr>
                    <w:t>筛选水平</w:t>
                  </w:r>
                </w:p>
              </w:tc>
              <w:tc>
                <w:tcPr>
                  <w:tcW w:w="3842" w:type="pct"/>
                  <w:gridSpan w:val="2"/>
                  <w:vAlign w:val="center"/>
                </w:tcPr>
                <w:p>
                  <w:pPr>
                    <w:pStyle w:val="34"/>
                    <w:widowControl w:val="0"/>
                    <w:jc w:val="left"/>
                    <w:rPr>
                      <w:color w:val="auto"/>
                      <w:highlight w:val="none"/>
                    </w:rPr>
                  </w:pPr>
                  <w:r>
                    <w:rPr>
                      <w:rFonts w:hint="eastAsia"/>
                      <w:color w:val="auto"/>
                      <w:highlight w:val="none"/>
                    </w:rPr>
                    <w:t>在距有色金属矿产品货堆（直径≥2m，厚度≥1m）表面0.1m处测量的条件下，规定矿产品γ辐射剂量率（包括环境γ本底剂量率）的现场检测筛选水平为400nGy/h②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0" w:type="pct"/>
                  <w:vAlign w:val="center"/>
                </w:tcPr>
                <w:p>
                  <w:pPr>
                    <w:pStyle w:val="34"/>
                    <w:widowControl w:val="0"/>
                    <w:rPr>
                      <w:color w:val="auto"/>
                      <w:highlight w:val="none"/>
                    </w:rPr>
                  </w:pPr>
                  <w:r>
                    <w:rPr>
                      <w:rFonts w:hint="eastAsia"/>
                      <w:color w:val="auto"/>
                      <w:highlight w:val="none"/>
                    </w:rPr>
                    <w:t>3</w:t>
                  </w:r>
                </w:p>
              </w:tc>
              <w:tc>
                <w:tcPr>
                  <w:tcW w:w="786" w:type="pct"/>
                  <w:vAlign w:val="center"/>
                </w:tcPr>
                <w:p>
                  <w:pPr>
                    <w:pStyle w:val="34"/>
                    <w:widowControl w:val="0"/>
                    <w:rPr>
                      <w:color w:val="auto"/>
                      <w:highlight w:val="none"/>
                    </w:rPr>
                  </w:pPr>
                  <w:r>
                    <w:rPr>
                      <w:rFonts w:hint="eastAsia"/>
                      <w:color w:val="auto"/>
                      <w:highlight w:val="none"/>
                    </w:rPr>
                    <w:t>人工放射性核素污染</w:t>
                  </w:r>
                </w:p>
              </w:tc>
              <w:tc>
                <w:tcPr>
                  <w:tcW w:w="3842" w:type="pct"/>
                  <w:gridSpan w:val="2"/>
                  <w:vAlign w:val="center"/>
                </w:tcPr>
                <w:p>
                  <w:pPr>
                    <w:pStyle w:val="34"/>
                    <w:widowControl w:val="0"/>
                    <w:jc w:val="left"/>
                    <w:rPr>
                      <w:color w:val="auto"/>
                      <w:highlight w:val="none"/>
                    </w:rPr>
                  </w:pPr>
                  <w:r>
                    <w:rPr>
                      <w:rFonts w:hint="eastAsia"/>
                      <w:color w:val="auto"/>
                      <w:highlight w:val="none"/>
                    </w:rPr>
                    <w:t>禁止有色金属矿产品被人工放射性核素污染或夹带人工放射性物质或放射源。</w:t>
                  </w:r>
                </w:p>
              </w:tc>
            </w:tr>
          </w:tbl>
          <w:p>
            <w:pPr>
              <w:pStyle w:val="30"/>
              <w:ind w:firstLine="420"/>
              <w:rPr>
                <w:color w:val="auto"/>
                <w:sz w:val="21"/>
                <w:szCs w:val="20"/>
                <w:highlight w:val="none"/>
              </w:rPr>
            </w:pPr>
            <w:r>
              <w:rPr>
                <w:rFonts w:hint="eastAsia"/>
                <w:color w:val="auto"/>
                <w:sz w:val="21"/>
                <w:szCs w:val="20"/>
                <w:highlight w:val="none"/>
              </w:rPr>
              <w:t>注：①Bq/g--放射性比度的单位。放射性比度，即放射性物质的放射性活度与其质量之比。</w:t>
            </w:r>
          </w:p>
          <w:p>
            <w:pPr>
              <w:pStyle w:val="30"/>
              <w:ind w:firstLine="420"/>
              <w:rPr>
                <w:color w:val="auto"/>
                <w:sz w:val="21"/>
                <w:szCs w:val="20"/>
                <w:highlight w:val="none"/>
              </w:rPr>
            </w:pPr>
            <w:r>
              <w:rPr>
                <w:rFonts w:hint="eastAsia"/>
                <w:color w:val="auto"/>
                <w:sz w:val="21"/>
                <w:szCs w:val="20"/>
                <w:highlight w:val="none"/>
              </w:rPr>
              <w:t>②Gy/h--核辐射量的单位。Gy（戈瑞）为吸收剂量的单位，1Gy相当于辐射授予每千克质量组织或器官的能量为1焦耳。1000nGy/h=1μGy/h。</w:t>
            </w:r>
          </w:p>
          <w:p>
            <w:pPr>
              <w:pStyle w:val="30"/>
              <w:ind w:firstLine="480"/>
              <w:rPr>
                <w:color w:val="auto"/>
                <w:szCs w:val="22"/>
                <w:highlight w:val="none"/>
              </w:rPr>
            </w:pPr>
            <w:r>
              <w:rPr>
                <w:rFonts w:hint="eastAsia"/>
                <w:color w:val="auto"/>
                <w:szCs w:val="22"/>
                <w:highlight w:val="none"/>
              </w:rPr>
              <w:t>根据建设单位提供的原料成分报告，</w:t>
            </w:r>
            <w:r>
              <w:rPr>
                <w:rFonts w:hint="eastAsia"/>
                <w:color w:val="auto"/>
                <w:highlight w:val="none"/>
              </w:rPr>
              <w:t>非标铜精矿（A矿）和</w:t>
            </w:r>
            <w:r>
              <w:rPr>
                <w:rFonts w:hint="eastAsia"/>
                <w:bCs/>
                <w:color w:val="auto"/>
                <w:highlight w:val="none"/>
              </w:rPr>
              <w:t>标准矿</w:t>
            </w:r>
            <w:r>
              <w:rPr>
                <w:rFonts w:hint="eastAsia"/>
                <w:color w:val="auto"/>
                <w:szCs w:val="22"/>
                <w:highlight w:val="none"/>
              </w:rPr>
              <w:t>（B矿）主要成分详见表2.1.</w:t>
            </w:r>
            <w:r>
              <w:rPr>
                <w:rFonts w:hint="eastAsia"/>
                <w:color w:val="auto"/>
                <w:szCs w:val="22"/>
                <w:highlight w:val="none"/>
                <w:lang w:val="en-US" w:eastAsia="zh-CN"/>
              </w:rPr>
              <w:t>8</w:t>
            </w:r>
            <w:r>
              <w:rPr>
                <w:rFonts w:hint="eastAsia"/>
                <w:color w:val="auto"/>
                <w:szCs w:val="22"/>
                <w:highlight w:val="none"/>
              </w:rPr>
              <w:t>和表2.1.</w:t>
            </w:r>
            <w:r>
              <w:rPr>
                <w:rFonts w:hint="eastAsia"/>
                <w:color w:val="auto"/>
                <w:szCs w:val="22"/>
                <w:highlight w:val="none"/>
                <w:lang w:val="en-US" w:eastAsia="zh-CN"/>
              </w:rPr>
              <w:t>9</w:t>
            </w:r>
            <w:r>
              <w:rPr>
                <w:rFonts w:hint="eastAsia"/>
                <w:color w:val="auto"/>
                <w:szCs w:val="22"/>
                <w:highlight w:val="none"/>
              </w:rPr>
              <w:t>。</w:t>
            </w:r>
          </w:p>
          <w:p>
            <w:pPr>
              <w:pStyle w:val="36"/>
              <w:rPr>
                <w:color w:val="auto"/>
                <w:highlight w:val="none"/>
              </w:rPr>
            </w:pPr>
            <w:r>
              <w:rPr>
                <w:rFonts w:hint="eastAsia"/>
                <w:color w:val="auto"/>
                <w:highlight w:val="none"/>
              </w:rPr>
              <w:t>表2.1.</w:t>
            </w:r>
            <w:r>
              <w:rPr>
                <w:rFonts w:hint="eastAsia"/>
                <w:color w:val="auto"/>
                <w:highlight w:val="none"/>
                <w:lang w:val="en-US" w:eastAsia="zh-CN"/>
              </w:rPr>
              <w:t>8</w:t>
            </w:r>
            <w:r>
              <w:rPr>
                <w:rFonts w:hint="eastAsia"/>
                <w:color w:val="auto"/>
                <w:highlight w:val="none"/>
              </w:rPr>
              <w:t xml:space="preserve">  非标铜精矿（A矿）原料主要成分表    单位：%</w:t>
            </w:r>
          </w:p>
          <w:tbl>
            <w:tblPr>
              <w:tblStyle w:val="20"/>
              <w:tblW w:w="8562" w:type="dxa"/>
              <w:tblInd w:w="0" w:type="dxa"/>
              <w:tblLayout w:type="fixed"/>
              <w:tblCellMar>
                <w:top w:w="0" w:type="dxa"/>
                <w:left w:w="108" w:type="dxa"/>
                <w:bottom w:w="0" w:type="dxa"/>
                <w:right w:w="108" w:type="dxa"/>
              </w:tblCellMar>
            </w:tblPr>
            <w:tblGrid>
              <w:gridCol w:w="960"/>
              <w:gridCol w:w="674"/>
              <w:gridCol w:w="674"/>
              <w:gridCol w:w="674"/>
              <w:gridCol w:w="674"/>
              <w:gridCol w:w="596"/>
              <w:gridCol w:w="650"/>
              <w:gridCol w:w="694"/>
              <w:gridCol w:w="573"/>
              <w:gridCol w:w="573"/>
              <w:gridCol w:w="573"/>
              <w:gridCol w:w="573"/>
              <w:gridCol w:w="674"/>
            </w:tblGrid>
            <w:tr>
              <w:tblPrEx>
                <w:tblCellMar>
                  <w:top w:w="0" w:type="dxa"/>
                  <w:left w:w="108" w:type="dxa"/>
                  <w:bottom w:w="0" w:type="dxa"/>
                  <w:right w:w="108" w:type="dxa"/>
                </w:tblCellMar>
              </w:tblPrEx>
              <w:trPr>
                <w:trHeight w:val="98" w:hRule="atLeast"/>
              </w:trPr>
              <w:tc>
                <w:tcPr>
                  <w:tcW w:w="560"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批次号</w:t>
                  </w:r>
                </w:p>
              </w:tc>
              <w:tc>
                <w:tcPr>
                  <w:tcW w:w="393"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Cu</w:t>
                  </w:r>
                </w:p>
              </w:tc>
              <w:tc>
                <w:tcPr>
                  <w:tcW w:w="393"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S</w:t>
                  </w:r>
                </w:p>
              </w:tc>
              <w:tc>
                <w:tcPr>
                  <w:tcW w:w="393"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Fe</w:t>
                  </w:r>
                </w:p>
              </w:tc>
              <w:tc>
                <w:tcPr>
                  <w:tcW w:w="393"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SiO</w:t>
                  </w:r>
                  <w:r>
                    <w:rPr>
                      <w:color w:val="auto"/>
                      <w:spacing w:val="-2"/>
                      <w:sz w:val="18"/>
                      <w:szCs w:val="18"/>
                      <w:highlight w:val="none"/>
                      <w:vertAlign w:val="subscript"/>
                    </w:rPr>
                    <w:t>2</w:t>
                  </w:r>
                </w:p>
              </w:tc>
              <w:tc>
                <w:tcPr>
                  <w:tcW w:w="348"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CaO</w:t>
                  </w:r>
                </w:p>
              </w:tc>
              <w:tc>
                <w:tcPr>
                  <w:tcW w:w="379"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MgO</w:t>
                  </w:r>
                </w:p>
              </w:tc>
              <w:tc>
                <w:tcPr>
                  <w:tcW w:w="405"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Al</w:t>
                  </w:r>
                  <w:r>
                    <w:rPr>
                      <w:color w:val="auto"/>
                      <w:spacing w:val="-2"/>
                      <w:sz w:val="18"/>
                      <w:szCs w:val="18"/>
                      <w:highlight w:val="none"/>
                      <w:vertAlign w:val="subscript"/>
                    </w:rPr>
                    <w:t>2</w:t>
                  </w:r>
                  <w:r>
                    <w:rPr>
                      <w:color w:val="auto"/>
                      <w:spacing w:val="-2"/>
                      <w:sz w:val="18"/>
                      <w:szCs w:val="18"/>
                      <w:highlight w:val="none"/>
                    </w:rPr>
                    <w:t>O</w:t>
                  </w:r>
                  <w:r>
                    <w:rPr>
                      <w:color w:val="auto"/>
                      <w:spacing w:val="-2"/>
                      <w:sz w:val="18"/>
                      <w:szCs w:val="18"/>
                      <w:highlight w:val="none"/>
                      <w:vertAlign w:val="subscript"/>
                    </w:rPr>
                    <w:t>3</w:t>
                  </w:r>
                </w:p>
              </w:tc>
              <w:tc>
                <w:tcPr>
                  <w:tcW w:w="334"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Pb</w:t>
                  </w:r>
                </w:p>
              </w:tc>
              <w:tc>
                <w:tcPr>
                  <w:tcW w:w="334"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Zn</w:t>
                  </w:r>
                </w:p>
              </w:tc>
              <w:tc>
                <w:tcPr>
                  <w:tcW w:w="334"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As</w:t>
                  </w:r>
                </w:p>
              </w:tc>
              <w:tc>
                <w:tcPr>
                  <w:tcW w:w="334"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Sb</w:t>
                  </w:r>
                </w:p>
              </w:tc>
              <w:tc>
                <w:tcPr>
                  <w:tcW w:w="393" w:type="pct"/>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8"/>
                      <w:szCs w:val="18"/>
                      <w:highlight w:val="none"/>
                    </w:rPr>
                  </w:pPr>
                  <w:r>
                    <w:rPr>
                      <w:color w:val="auto"/>
                      <w:spacing w:val="-2"/>
                      <w:sz w:val="18"/>
                      <w:szCs w:val="18"/>
                      <w:highlight w:val="none"/>
                    </w:rPr>
                    <w:t>Bi</w:t>
                  </w: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90"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112"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166"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90"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34"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163"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r>
              <w:tblPrEx>
                <w:tblCellMar>
                  <w:top w:w="0" w:type="dxa"/>
                  <w:left w:w="108" w:type="dxa"/>
                  <w:bottom w:w="0" w:type="dxa"/>
                  <w:right w:w="108" w:type="dxa"/>
                </w:tblCellMar>
              </w:tblPrEx>
              <w:trPr>
                <w:trHeight w:val="255" w:hRule="atLeast"/>
              </w:trPr>
              <w:tc>
                <w:tcPr>
                  <w:tcW w:w="560"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48"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79"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405"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34"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c>
                <w:tcPr>
                  <w:tcW w:w="393" w:type="pct"/>
                  <w:tcBorders>
                    <w:top w:val="single" w:color="000000" w:sz="4" w:space="0"/>
                    <w:left w:val="single" w:color="000000" w:sz="4" w:space="0"/>
                    <w:bottom w:val="single" w:color="000000" w:sz="4" w:space="0"/>
                    <w:right w:val="single" w:color="000000" w:sz="4" w:space="0"/>
                  </w:tcBorders>
                  <w:noWrap/>
                  <w:vAlign w:val="center"/>
                </w:tcPr>
                <w:p>
                  <w:pPr>
                    <w:pStyle w:val="34"/>
                    <w:widowControl w:val="0"/>
                    <w:rPr>
                      <w:color w:val="auto"/>
                      <w:spacing w:val="-2"/>
                      <w:sz w:val="18"/>
                      <w:szCs w:val="18"/>
                      <w:highlight w:val="none"/>
                    </w:rPr>
                  </w:pPr>
                </w:p>
              </w:tc>
            </w:tr>
          </w:tbl>
          <w:p>
            <w:pPr>
              <w:pStyle w:val="36"/>
              <w:rPr>
                <w:color w:val="auto"/>
                <w:highlight w:val="none"/>
              </w:rPr>
            </w:pPr>
          </w:p>
          <w:p>
            <w:pPr>
              <w:pStyle w:val="36"/>
              <w:rPr>
                <w:color w:val="auto"/>
                <w:highlight w:val="none"/>
              </w:rPr>
            </w:pPr>
            <w:r>
              <w:rPr>
                <w:rFonts w:hint="eastAsia"/>
                <w:color w:val="auto"/>
                <w:highlight w:val="none"/>
              </w:rPr>
              <w:t>表2.1.</w:t>
            </w:r>
            <w:r>
              <w:rPr>
                <w:rFonts w:hint="eastAsia"/>
                <w:color w:val="auto"/>
                <w:highlight w:val="none"/>
                <w:lang w:val="en-US" w:eastAsia="zh-CN"/>
              </w:rPr>
              <w:t>9</w:t>
            </w:r>
            <w:r>
              <w:rPr>
                <w:rFonts w:hint="eastAsia"/>
                <w:color w:val="auto"/>
                <w:highlight w:val="none"/>
              </w:rPr>
              <w:t xml:space="preserve">  标准铜精矿（B矿）原料主要成分表    单位：%</w:t>
            </w:r>
          </w:p>
          <w:tbl>
            <w:tblPr>
              <w:tblStyle w:val="20"/>
              <w:tblW w:w="0" w:type="auto"/>
              <w:tblInd w:w="0" w:type="dxa"/>
              <w:tblLayout w:type="fixed"/>
              <w:tblCellMar>
                <w:top w:w="0" w:type="dxa"/>
                <w:left w:w="108" w:type="dxa"/>
                <w:bottom w:w="0" w:type="dxa"/>
                <w:right w:w="108" w:type="dxa"/>
              </w:tblCellMar>
            </w:tblPr>
            <w:tblGrid>
              <w:gridCol w:w="665"/>
              <w:gridCol w:w="627"/>
              <w:gridCol w:w="627"/>
              <w:gridCol w:w="627"/>
              <w:gridCol w:w="627"/>
              <w:gridCol w:w="553"/>
              <w:gridCol w:w="553"/>
              <w:gridCol w:w="553"/>
              <w:gridCol w:w="553"/>
              <w:gridCol w:w="553"/>
              <w:gridCol w:w="625"/>
              <w:gridCol w:w="553"/>
              <w:gridCol w:w="553"/>
              <w:gridCol w:w="563"/>
              <w:gridCol w:w="563"/>
            </w:tblGrid>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批次号</w:t>
                  </w: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Cu</w:t>
                  </w: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Fe</w:t>
                  </w: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S</w:t>
                  </w: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SiO</w:t>
                  </w:r>
                  <w:r>
                    <w:rPr>
                      <w:color w:val="auto"/>
                      <w:spacing w:val="-2"/>
                      <w:sz w:val="15"/>
                      <w:szCs w:val="15"/>
                      <w:highlight w:val="none"/>
                      <w:vertAlign w:val="subscript"/>
                    </w:rPr>
                    <w:t>2</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CaO</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Pb</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Zn</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As</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MgO</w:t>
                  </w: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Al</w:t>
                  </w:r>
                  <w:r>
                    <w:rPr>
                      <w:color w:val="auto"/>
                      <w:spacing w:val="-2"/>
                      <w:sz w:val="15"/>
                      <w:szCs w:val="15"/>
                      <w:highlight w:val="none"/>
                      <w:vertAlign w:val="subscript"/>
                    </w:rPr>
                    <w:t>2</w:t>
                  </w:r>
                  <w:r>
                    <w:rPr>
                      <w:color w:val="auto"/>
                      <w:spacing w:val="-2"/>
                      <w:sz w:val="15"/>
                      <w:szCs w:val="15"/>
                      <w:highlight w:val="none"/>
                    </w:rPr>
                    <w:t>O</w:t>
                  </w:r>
                  <w:r>
                    <w:rPr>
                      <w:color w:val="auto"/>
                      <w:spacing w:val="-2"/>
                      <w:sz w:val="15"/>
                      <w:szCs w:val="15"/>
                      <w:highlight w:val="none"/>
                      <w:vertAlign w:val="subscript"/>
                    </w:rPr>
                    <w:t>3</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Sb</w:t>
                  </w: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Bi</w:t>
                  </w: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F</w:t>
                  </w: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r>
                    <w:rPr>
                      <w:color w:val="auto"/>
                      <w:spacing w:val="-2"/>
                      <w:sz w:val="15"/>
                      <w:szCs w:val="15"/>
                      <w:highlight w:val="none"/>
                    </w:rPr>
                    <w:t>Ni</w:t>
                  </w: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190"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r>
              <w:tblPrEx>
                <w:tblCellMar>
                  <w:top w:w="0" w:type="dxa"/>
                  <w:left w:w="108" w:type="dxa"/>
                  <w:bottom w:w="0" w:type="dxa"/>
                  <w:right w:w="108" w:type="dxa"/>
                </w:tblCellMar>
              </w:tblPrEx>
              <w:trPr>
                <w:trHeight w:val="255" w:hRule="atLeast"/>
              </w:trPr>
              <w:tc>
                <w:tcPr>
                  <w:tcW w:w="66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7"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625"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5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c>
                <w:tcPr>
                  <w:tcW w:w="563" w:type="dxa"/>
                  <w:tcBorders>
                    <w:top w:val="single" w:color="000000" w:sz="4" w:space="0"/>
                    <w:left w:val="single" w:color="000000" w:sz="4" w:space="0"/>
                    <w:bottom w:val="single" w:color="000000" w:sz="4" w:space="0"/>
                    <w:right w:val="single" w:color="000000" w:sz="4" w:space="0"/>
                  </w:tcBorders>
                  <w:noWrap/>
                  <w:vAlign w:val="bottom"/>
                </w:tcPr>
                <w:p>
                  <w:pPr>
                    <w:pStyle w:val="34"/>
                    <w:widowControl w:val="0"/>
                    <w:rPr>
                      <w:color w:val="auto"/>
                      <w:spacing w:val="-2"/>
                      <w:sz w:val="15"/>
                      <w:szCs w:val="15"/>
                      <w:highlight w:val="none"/>
                    </w:rPr>
                  </w:pPr>
                </w:p>
              </w:tc>
            </w:tr>
          </w:tbl>
          <w:p>
            <w:pPr>
              <w:pStyle w:val="36"/>
              <w:rPr>
                <w:color w:val="auto"/>
                <w:sz w:val="21"/>
                <w:szCs w:val="21"/>
                <w:highlight w:val="none"/>
              </w:rPr>
            </w:pPr>
          </w:p>
          <w:p>
            <w:pPr>
              <w:pStyle w:val="32"/>
              <w:ind w:firstLine="480"/>
              <w:rPr>
                <w:color w:val="auto"/>
                <w:highlight w:val="none"/>
              </w:rPr>
            </w:pPr>
            <w:r>
              <w:rPr>
                <w:rFonts w:hint="eastAsia"/>
                <w:color w:val="auto"/>
                <w:highlight w:val="none"/>
              </w:rPr>
              <w:t>2.进口原料</w:t>
            </w:r>
            <w:r>
              <w:rPr>
                <w:rFonts w:hint="eastAsia"/>
                <w:color w:val="auto"/>
                <w:highlight w:val="none"/>
                <w:lang w:val="en-US" w:eastAsia="zh-CN"/>
              </w:rPr>
              <w:t>中有害元素建议限值</w:t>
            </w:r>
          </w:p>
          <w:p>
            <w:pPr>
              <w:pStyle w:val="32"/>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同类项目调查</w:t>
            </w:r>
          </w:p>
          <w:p>
            <w:pPr>
              <w:pStyle w:val="32"/>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根据统计调查，国内同类型进境铜精矿项目的有害元素建议上限值如下表：</w:t>
            </w:r>
          </w:p>
          <w:p>
            <w:pPr>
              <w:pStyle w:val="36"/>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表2.1.10  国内同类型进境铜精矿项目的建议上限值一览表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6"/>
              <w:gridCol w:w="3001"/>
              <w:gridCol w:w="709"/>
              <w:gridCol w:w="774"/>
              <w:gridCol w:w="774"/>
              <w:gridCol w:w="77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区域/企业</w:t>
                  </w:r>
                </w:p>
              </w:tc>
              <w:tc>
                <w:tcPr>
                  <w:tcW w:w="170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有害元素</w:t>
                  </w:r>
                </w:p>
              </w:tc>
              <w:tc>
                <w:tcPr>
                  <w:tcW w:w="40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Pb</w:t>
                  </w: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As</w:t>
                  </w: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F</w:t>
                  </w: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Cd</w:t>
                  </w:r>
                </w:p>
              </w:tc>
              <w:tc>
                <w:tcPr>
                  <w:tcW w:w="537"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连云港</w:t>
                  </w:r>
                </w:p>
              </w:tc>
              <w:tc>
                <w:tcPr>
                  <w:tcW w:w="170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含量，不大于，%</w:t>
                  </w:r>
                </w:p>
              </w:tc>
              <w:tc>
                <w:tcPr>
                  <w:tcW w:w="40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537"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大连</w:t>
                  </w:r>
                </w:p>
              </w:tc>
              <w:tc>
                <w:tcPr>
                  <w:tcW w:w="170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含量，不大于，%</w:t>
                  </w:r>
                </w:p>
              </w:tc>
              <w:tc>
                <w:tcPr>
                  <w:tcW w:w="40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c>
                <w:tcPr>
                  <w:tcW w:w="537"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4"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平均值</w:t>
                  </w:r>
                </w:p>
              </w:tc>
              <w:tc>
                <w:tcPr>
                  <w:tcW w:w="170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含量，不大于，%</w:t>
                  </w:r>
                </w:p>
              </w:tc>
              <w:tc>
                <w:tcPr>
                  <w:tcW w:w="404" w:type="pct"/>
                  <w:noWrap w:val="0"/>
                  <w:vAlign w:val="center"/>
                </w:tcPr>
                <w:p>
                  <w:pPr>
                    <w:pStyle w:val="34"/>
                    <w:widowControl w:val="0"/>
                    <w:jc w:val="center"/>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jc w:val="center"/>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jc w:val="center"/>
                    <w:rPr>
                      <w:rFonts w:hint="default" w:ascii="Times New Roman" w:hAnsi="Times New Roman" w:eastAsia="宋体" w:cs="Times New Roman"/>
                      <w:color w:val="auto"/>
                      <w:spacing w:val="-2"/>
                      <w:highlight w:val="none"/>
                      <w:lang w:val="en-US" w:eastAsia="zh-CN"/>
                    </w:rPr>
                  </w:pPr>
                </w:p>
              </w:tc>
              <w:tc>
                <w:tcPr>
                  <w:tcW w:w="441" w:type="pct"/>
                  <w:noWrap w:val="0"/>
                  <w:vAlign w:val="center"/>
                </w:tcPr>
                <w:p>
                  <w:pPr>
                    <w:pStyle w:val="34"/>
                    <w:widowControl w:val="0"/>
                    <w:jc w:val="center"/>
                    <w:rPr>
                      <w:rFonts w:hint="default" w:ascii="Times New Roman" w:hAnsi="Times New Roman" w:eastAsia="宋体" w:cs="Times New Roman"/>
                      <w:color w:val="auto"/>
                      <w:spacing w:val="-2"/>
                      <w:highlight w:val="none"/>
                      <w:lang w:val="en-US" w:eastAsia="zh-CN"/>
                    </w:rPr>
                  </w:pPr>
                </w:p>
              </w:tc>
              <w:tc>
                <w:tcPr>
                  <w:tcW w:w="537" w:type="pct"/>
                  <w:noWrap w:val="0"/>
                  <w:vAlign w:val="center"/>
                </w:tcPr>
                <w:p>
                  <w:pPr>
                    <w:pStyle w:val="34"/>
                    <w:widowControl w:val="0"/>
                    <w:jc w:val="center"/>
                    <w:rPr>
                      <w:rFonts w:hint="default" w:ascii="Times New Roman" w:hAnsi="Times New Roman" w:eastAsia="宋体" w:cs="Times New Roman"/>
                      <w:color w:val="auto"/>
                      <w:spacing w:val="-2"/>
                      <w:highlight w:val="none"/>
                      <w:lang w:val="en-US" w:eastAsia="zh-CN"/>
                    </w:rPr>
                  </w:pPr>
                </w:p>
              </w:tc>
            </w:tr>
          </w:tbl>
          <w:p>
            <w:pPr>
              <w:pStyle w:val="36"/>
              <w:rPr>
                <w:rFonts w:hint="eastAsia"/>
                <w:color w:val="auto"/>
                <w:highlight w:val="none"/>
              </w:rPr>
            </w:pPr>
          </w:p>
          <w:p>
            <w:pPr>
              <w:pStyle w:val="32"/>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本项目</w:t>
            </w:r>
            <w:r>
              <w:rPr>
                <w:rFonts w:hint="eastAsia" w:ascii="Times New Roman" w:hAnsi="Times New Roman" w:eastAsia="宋体" w:cs="Times New Roman"/>
                <w:color w:val="auto"/>
                <w:highlight w:val="none"/>
                <w:lang w:val="en-US" w:eastAsia="zh-CN"/>
              </w:rPr>
              <w:t>非标</w:t>
            </w:r>
            <w:r>
              <w:rPr>
                <w:rFonts w:hint="default" w:ascii="Times New Roman" w:hAnsi="Times New Roman" w:eastAsia="宋体" w:cs="Times New Roman"/>
                <w:color w:val="auto"/>
                <w:highlight w:val="none"/>
                <w:lang w:val="en-US" w:eastAsia="zh-CN"/>
              </w:rPr>
              <w:t>铜精矿原料中有害元素的建议限值</w:t>
            </w:r>
          </w:p>
          <w:p>
            <w:pPr>
              <w:pStyle w:val="32"/>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为减少混配过程中铅、砷、汞等有害元素的环境风险，故进境非标铜精矿中铅、砷、汞元素的含量不宜设置过高。通过对海外铜精矿货源品质和国内同行业进境铜精矿的建议上限值进行认真调研，根据环境影响评价情况，结合本项目实际生产需求，本次环评提出本项目进境非标铜精矿有害元素含量建议上限值取值参考国内同类型项目的有害元素建议上限值以及矿源情况，进境非标铜精矿中所含有害元素应不大于表</w:t>
            </w:r>
            <w:r>
              <w:rPr>
                <w:rFonts w:hint="default"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val="en-US" w:eastAsia="zh-CN"/>
              </w:rPr>
              <w:t>.1.10的建议上限值。</w:t>
            </w:r>
          </w:p>
          <w:p>
            <w:pPr>
              <w:pStyle w:val="36"/>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表2.1.11  进口铜精矿中所含有害元素的建议限值</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619"/>
              <w:gridCol w:w="748"/>
              <w:gridCol w:w="911"/>
              <w:gridCol w:w="911"/>
              <w:gridCol w:w="911"/>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有害元素</w:t>
                  </w:r>
                </w:p>
              </w:tc>
              <w:tc>
                <w:tcPr>
                  <w:tcW w:w="922"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Pb</w:t>
                  </w:r>
                </w:p>
              </w:tc>
              <w:tc>
                <w:tcPr>
                  <w:tcW w:w="426"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As</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F</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Cd</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Hg</w:t>
                  </w:r>
                </w:p>
              </w:tc>
              <w:tc>
                <w:tcPr>
                  <w:tcW w:w="938"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含量，不大于，%</w:t>
                  </w:r>
                </w:p>
              </w:tc>
              <w:tc>
                <w:tcPr>
                  <w:tcW w:w="922"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6.0</w:t>
                  </w:r>
                </w:p>
              </w:tc>
              <w:tc>
                <w:tcPr>
                  <w:tcW w:w="426"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0.5</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0.1</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0.05</w:t>
                  </w:r>
                </w:p>
              </w:tc>
              <w:tc>
                <w:tcPr>
                  <w:tcW w:w="519"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0.01</w:t>
                  </w:r>
                </w:p>
              </w:tc>
              <w:tc>
                <w:tcPr>
                  <w:tcW w:w="938" w:type="pct"/>
                  <w:noWrap w:val="0"/>
                  <w:vAlign w:val="center"/>
                </w:tcPr>
                <w:p>
                  <w:pPr>
                    <w:pStyle w:val="34"/>
                    <w:widowControl w:val="0"/>
                    <w:rPr>
                      <w:rFonts w:hint="default" w:ascii="Times New Roman" w:hAnsi="Times New Roman" w:eastAsia="宋体" w:cs="Times New Roman"/>
                      <w:color w:val="auto"/>
                      <w:spacing w:val="-2"/>
                      <w:highlight w:val="none"/>
                      <w:lang w:val="en-US" w:eastAsia="zh-CN"/>
                    </w:rPr>
                  </w:pPr>
                  <w:r>
                    <w:rPr>
                      <w:rFonts w:hint="eastAsia" w:ascii="Times New Roman" w:hAnsi="Times New Roman" w:eastAsia="宋体" w:cs="Times New Roman"/>
                      <w:color w:val="auto"/>
                      <w:spacing w:val="-2"/>
                      <w:highlight w:val="none"/>
                      <w:lang w:val="en-US" w:eastAsia="zh-CN"/>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r>
                    <w:rPr>
                      <w:rFonts w:hint="eastAsia" w:ascii="Times New Roman" w:hAnsi="Times New Roman" w:eastAsia="宋体" w:cs="Times New Roman"/>
                      <w:b/>
                      <w:bCs/>
                      <w:color w:val="auto"/>
                      <w:spacing w:val="-2"/>
                      <w:highlight w:val="none"/>
                      <w:lang w:val="en-US" w:eastAsia="zh-CN"/>
                    </w:rPr>
                    <w:t>含量，不大于，%</w:t>
                  </w:r>
                </w:p>
              </w:tc>
              <w:tc>
                <w:tcPr>
                  <w:tcW w:w="922" w:type="pct"/>
                  <w:noWrap w:val="0"/>
                  <w:vAlign w:val="center"/>
                </w:tcPr>
                <w:p>
                  <w:pPr>
                    <w:pStyle w:val="34"/>
                    <w:widowControl w:val="0"/>
                    <w:jc w:val="both"/>
                    <w:rPr>
                      <w:rFonts w:hint="default" w:ascii="Times New Roman" w:hAnsi="Times New Roman" w:eastAsia="宋体" w:cs="Times New Roman"/>
                      <w:b/>
                      <w:bCs/>
                      <w:color w:val="auto"/>
                      <w:spacing w:val="-2"/>
                      <w:highlight w:val="none"/>
                      <w:lang w:val="en-US" w:eastAsia="zh-CN"/>
                    </w:rPr>
                  </w:pPr>
                </w:p>
              </w:tc>
              <w:tc>
                <w:tcPr>
                  <w:tcW w:w="426"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p>
              </w:tc>
              <w:tc>
                <w:tcPr>
                  <w:tcW w:w="519"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p>
              </w:tc>
              <w:tc>
                <w:tcPr>
                  <w:tcW w:w="519"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p>
              </w:tc>
              <w:tc>
                <w:tcPr>
                  <w:tcW w:w="519"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p>
              </w:tc>
              <w:tc>
                <w:tcPr>
                  <w:tcW w:w="938" w:type="pct"/>
                  <w:noWrap w:val="0"/>
                  <w:vAlign w:val="center"/>
                </w:tcPr>
                <w:p>
                  <w:pPr>
                    <w:pStyle w:val="34"/>
                    <w:widowControl w:val="0"/>
                    <w:rPr>
                      <w:rFonts w:hint="default" w:ascii="Times New Roman" w:hAnsi="Times New Roman" w:eastAsia="宋体" w:cs="Times New Roman"/>
                      <w:b/>
                      <w:bCs/>
                      <w:color w:val="auto"/>
                      <w:spacing w:val="-2"/>
                      <w:highlight w:val="none"/>
                      <w:lang w:val="en-US" w:eastAsia="zh-CN"/>
                    </w:rPr>
                  </w:pPr>
                  <w:r>
                    <w:rPr>
                      <w:rFonts w:hint="eastAsia" w:ascii="Times New Roman" w:hAnsi="Times New Roman" w:eastAsia="宋体" w:cs="Times New Roman"/>
                      <w:b/>
                      <w:bCs/>
                      <w:color w:val="auto"/>
                      <w:spacing w:val="-2"/>
                      <w:highlight w:val="none"/>
                      <w:lang w:val="en-US" w:eastAsia="zh-CN"/>
                    </w:rPr>
                    <w:t>建议限值</w:t>
                  </w:r>
                </w:p>
              </w:tc>
            </w:tr>
          </w:tbl>
          <w:p>
            <w:pPr>
              <w:pStyle w:val="36"/>
              <w:rPr>
                <w:rFonts w:hint="eastAsia" w:ascii="Times New Roman" w:hAnsi="Times New Roman" w:eastAsia="宋体" w:cs="Times New Roman"/>
                <w:color w:val="auto"/>
                <w:highlight w:val="none"/>
                <w:lang w:val="en-US" w:eastAsia="zh-CN"/>
              </w:rPr>
            </w:pPr>
          </w:p>
          <w:p>
            <w:pPr>
              <w:pStyle w:val="30"/>
              <w:ind w:firstLine="480"/>
              <w:rPr>
                <w:color w:val="auto"/>
                <w:szCs w:val="22"/>
                <w:highlight w:val="none"/>
              </w:rPr>
            </w:pPr>
            <w:r>
              <w:rPr>
                <w:rFonts w:hint="eastAsia"/>
                <w:color w:val="auto"/>
                <w:szCs w:val="22"/>
                <w:highlight w:val="none"/>
              </w:rPr>
              <w:t>3.原料供给方式</w:t>
            </w:r>
          </w:p>
          <w:p>
            <w:pPr>
              <w:pStyle w:val="30"/>
              <w:ind w:firstLine="480"/>
              <w:rPr>
                <w:color w:val="auto"/>
                <w:szCs w:val="22"/>
                <w:highlight w:val="none"/>
              </w:rPr>
            </w:pPr>
            <w:r>
              <w:rPr>
                <w:rFonts w:hint="eastAsia"/>
                <w:color w:val="auto"/>
                <w:szCs w:val="22"/>
                <w:highlight w:val="none"/>
              </w:rPr>
              <w:t>从国外购买的铜精矿，通过货轮运输至三都澳港区漳湾作业区9号泊位和10号泊位。根据《福州港三都澳港区漳湾作业区8#、9#泊位工程竣工环境保护验收调查报告》《福州港三都澳港区漳湾作业区10号泊位工程（浓硫酸和铜精矿货种配套工程）竣工环境保护验收调查报告》，原料到港为散货和集装箱，本项目采用</w:t>
            </w:r>
            <w:r>
              <w:rPr>
                <w:color w:val="auto"/>
                <w:szCs w:val="22"/>
                <w:highlight w:val="none"/>
              </w:rPr>
              <w:t>两种</w:t>
            </w:r>
            <w:r>
              <w:rPr>
                <w:rFonts w:hint="eastAsia"/>
                <w:color w:val="auto"/>
                <w:szCs w:val="22"/>
                <w:highlight w:val="none"/>
              </w:rPr>
              <w:t>输送方式：</w:t>
            </w:r>
            <w:r>
              <w:rPr>
                <w:rFonts w:hint="eastAsia"/>
                <w:bCs/>
                <w:color w:val="auto"/>
                <w:highlight w:val="none"/>
              </w:rPr>
              <w:t>散货到港后，卸料至皮带输送机，</w:t>
            </w:r>
            <w:r>
              <w:rPr>
                <w:rFonts w:hint="eastAsia"/>
                <w:color w:val="auto"/>
                <w:highlight w:val="none"/>
              </w:rPr>
              <w:t>经皮带输送至本项目原料仓库内卸料；</w:t>
            </w:r>
            <w:r>
              <w:rPr>
                <w:rFonts w:hint="eastAsia"/>
                <w:bCs/>
                <w:color w:val="auto"/>
                <w:highlight w:val="none"/>
              </w:rPr>
              <w:t>集装箱到港后，</w:t>
            </w:r>
            <w:r>
              <w:rPr>
                <w:rFonts w:hint="eastAsia"/>
                <w:color w:val="auto"/>
                <w:szCs w:val="22"/>
                <w:highlight w:val="none"/>
              </w:rPr>
              <w:t>通过汽车转运至本项目</w:t>
            </w:r>
            <w:r>
              <w:rPr>
                <w:rFonts w:hint="eastAsia"/>
                <w:color w:val="auto"/>
                <w:szCs w:val="22"/>
                <w:highlight w:val="none"/>
                <w:lang w:eastAsia="zh-CN"/>
              </w:rPr>
              <w:t>封闭</w:t>
            </w:r>
            <w:r>
              <w:rPr>
                <w:rFonts w:hint="eastAsia"/>
                <w:color w:val="auto"/>
                <w:szCs w:val="22"/>
                <w:highlight w:val="none"/>
              </w:rPr>
              <w:t>车间内进行卸料，转运距离约2公里</w:t>
            </w:r>
            <w:r>
              <w:rPr>
                <w:color w:val="auto"/>
                <w:szCs w:val="22"/>
                <w:highlight w:val="none"/>
              </w:rPr>
              <w:t>。</w:t>
            </w:r>
          </w:p>
          <w:p>
            <w:pPr>
              <w:pStyle w:val="32"/>
              <w:spacing w:before="75" w:line="375" w:lineRule="auto"/>
              <w:ind w:right="103" w:firstLine="0" w:firstLineChars="0"/>
              <w:rPr>
                <w:b/>
                <w:bCs/>
                <w:color w:val="auto"/>
                <w:highlight w:val="none"/>
              </w:rPr>
            </w:pPr>
            <w:r>
              <w:rPr>
                <w:rFonts w:hint="eastAsia"/>
                <w:b/>
                <w:bCs/>
                <w:color w:val="auto"/>
                <w:highlight w:val="none"/>
              </w:rPr>
              <w:t>2.1.2.5 总平面布置图</w:t>
            </w:r>
          </w:p>
          <w:p>
            <w:pPr>
              <w:pStyle w:val="30"/>
              <w:ind w:firstLine="480"/>
              <w:rPr>
                <w:color w:val="auto"/>
                <w:highlight w:val="none"/>
              </w:rPr>
            </w:pPr>
            <w:r>
              <w:rPr>
                <w:rFonts w:hint="eastAsia"/>
                <w:color w:val="auto"/>
                <w:highlight w:val="none"/>
              </w:rPr>
              <w:t>1.项目平面布置</w:t>
            </w:r>
          </w:p>
          <w:p>
            <w:pPr>
              <w:pStyle w:val="32"/>
              <w:adjustRightInd w:val="0"/>
              <w:snapToGrid w:val="0"/>
              <w:ind w:firstLine="480"/>
              <w:rPr>
                <w:color w:val="auto"/>
                <w:highlight w:val="none"/>
              </w:rPr>
            </w:pPr>
            <w:r>
              <w:rPr>
                <w:rFonts w:hint="eastAsia"/>
                <w:color w:val="auto"/>
                <w:highlight w:val="none"/>
              </w:rPr>
              <w:t>本项目位于</w:t>
            </w:r>
            <w:r>
              <w:rPr>
                <w:rFonts w:hint="eastAsia"/>
                <w:color w:val="auto"/>
                <w:highlight w:val="none"/>
                <w:lang w:eastAsia="zh-CN"/>
              </w:rPr>
              <w:t>宁德</w:t>
            </w:r>
            <w:r>
              <w:rPr>
                <w:rFonts w:hint="eastAsia"/>
                <w:color w:val="auto"/>
                <w:highlight w:val="none"/>
              </w:rPr>
              <w:t>保税物流中心</w:t>
            </w:r>
            <w:r>
              <w:rPr>
                <w:rFonts w:hint="eastAsia"/>
                <w:color w:val="auto"/>
                <w:highlight w:val="none"/>
                <w:lang w:eastAsia="zh-CN"/>
              </w:rPr>
              <w:t>（</w:t>
            </w:r>
            <w:r>
              <w:rPr>
                <w:rFonts w:hint="eastAsia"/>
                <w:color w:val="auto"/>
                <w:highlight w:val="none"/>
                <w:lang w:val="en-US" w:eastAsia="zh-CN"/>
              </w:rPr>
              <w:t>B型</w:t>
            </w:r>
            <w:r>
              <w:rPr>
                <w:rFonts w:hint="eastAsia"/>
                <w:color w:val="auto"/>
                <w:highlight w:val="none"/>
                <w:lang w:eastAsia="zh-CN"/>
              </w:rPr>
              <w:t>）</w:t>
            </w:r>
            <w:r>
              <w:rPr>
                <w:rFonts w:hint="eastAsia"/>
                <w:color w:val="auto"/>
                <w:highlight w:val="none"/>
              </w:rPr>
              <w:t>内，具体布置于场地</w:t>
            </w:r>
            <w:r>
              <w:rPr>
                <w:rFonts w:hint="eastAsia"/>
                <w:color w:val="auto"/>
                <w:highlight w:val="none"/>
                <w:lang w:val="en-US" w:eastAsia="zh-CN"/>
              </w:rPr>
              <w:t>东</w:t>
            </w:r>
            <w:r>
              <w:rPr>
                <w:rFonts w:hint="eastAsia"/>
                <w:color w:val="auto"/>
                <w:highlight w:val="none"/>
                <w:lang w:eastAsia="zh-CN"/>
              </w:rPr>
              <w:t>侧。</w:t>
            </w:r>
            <w:r>
              <w:rPr>
                <w:rFonts w:hint="eastAsia"/>
                <w:color w:val="auto"/>
                <w:highlight w:val="none"/>
              </w:rPr>
              <w:t>本次</w:t>
            </w:r>
            <w:r>
              <w:rPr>
                <w:rFonts w:hint="eastAsia"/>
                <w:color w:val="auto"/>
                <w:highlight w:val="none"/>
                <w:lang w:val="en-US" w:eastAsia="zh-CN"/>
              </w:rPr>
              <w:t>建设</w:t>
            </w:r>
            <w:r>
              <w:rPr>
                <w:rFonts w:hint="eastAsia"/>
                <w:color w:val="auto"/>
                <w:highlight w:val="none"/>
              </w:rPr>
              <w:t>内容包含</w:t>
            </w:r>
            <w:r>
              <w:rPr>
                <w:rFonts w:hint="eastAsia"/>
                <w:color w:val="auto"/>
                <w:highlight w:val="none"/>
                <w:lang w:val="en-US" w:eastAsia="zh-CN"/>
              </w:rPr>
              <w:t>卸矿站</w:t>
            </w:r>
            <w:r>
              <w:rPr>
                <w:rFonts w:hint="eastAsia"/>
                <w:color w:val="auto"/>
                <w:highlight w:val="none"/>
              </w:rPr>
              <w:t>、</w:t>
            </w:r>
            <w:r>
              <w:rPr>
                <w:rFonts w:hint="eastAsia"/>
                <w:color w:val="auto"/>
                <w:highlight w:val="none"/>
                <w:lang w:val="en-US" w:eastAsia="zh-CN"/>
              </w:rPr>
              <w:t>混矿库</w:t>
            </w:r>
            <w:r>
              <w:rPr>
                <w:rFonts w:hint="eastAsia"/>
                <w:color w:val="auto"/>
                <w:highlight w:val="none"/>
              </w:rPr>
              <w:t>、</w:t>
            </w:r>
            <w:r>
              <w:rPr>
                <w:rFonts w:hint="eastAsia"/>
                <w:color w:val="auto"/>
                <w:highlight w:val="none"/>
                <w:lang w:val="en-US" w:eastAsia="zh-CN"/>
              </w:rPr>
              <w:t>皮带输送线、</w:t>
            </w:r>
            <w:r>
              <w:rPr>
                <w:rFonts w:hint="eastAsia"/>
                <w:color w:val="auto"/>
                <w:highlight w:val="none"/>
              </w:rPr>
              <w:t>一般固废暂存间、危废暂存间、给水加压泵站、生产废水处理站</w:t>
            </w:r>
            <w:r>
              <w:rPr>
                <w:rFonts w:hint="eastAsia"/>
                <w:color w:val="auto"/>
                <w:highlight w:val="none"/>
                <w:lang w:val="en-US" w:eastAsia="zh-CN"/>
              </w:rPr>
              <w:t>、</w:t>
            </w:r>
            <w:r>
              <w:rPr>
                <w:rFonts w:hint="eastAsia"/>
                <w:color w:val="auto"/>
                <w:highlight w:val="none"/>
              </w:rPr>
              <w:t>初期雨水</w:t>
            </w:r>
            <w:r>
              <w:rPr>
                <w:rFonts w:hint="eastAsia"/>
                <w:color w:val="auto"/>
                <w:highlight w:val="none"/>
                <w:lang w:val="en-US" w:eastAsia="zh-CN"/>
              </w:rPr>
              <w:t>收集</w:t>
            </w:r>
            <w:r>
              <w:rPr>
                <w:rFonts w:hint="eastAsia"/>
                <w:color w:val="auto"/>
                <w:highlight w:val="none"/>
              </w:rPr>
              <w:t>池</w:t>
            </w:r>
            <w:r>
              <w:rPr>
                <w:rFonts w:hint="eastAsia"/>
                <w:color w:val="auto"/>
                <w:highlight w:val="none"/>
                <w:lang w:val="en-US" w:eastAsia="zh-CN"/>
              </w:rPr>
              <w:t>等</w:t>
            </w:r>
            <w:r>
              <w:rPr>
                <w:rFonts w:hint="eastAsia"/>
                <w:color w:val="auto"/>
                <w:highlight w:val="none"/>
              </w:rPr>
              <w:t>。</w:t>
            </w:r>
          </w:p>
          <w:p>
            <w:pPr>
              <w:pStyle w:val="32"/>
              <w:adjustRightInd w:val="0"/>
              <w:snapToGrid w:val="0"/>
              <w:ind w:firstLine="480"/>
              <w:rPr>
                <w:color w:val="auto"/>
                <w:highlight w:val="none"/>
              </w:rPr>
            </w:pPr>
            <w:bookmarkStart w:id="7" w:name="OLE_LINK13"/>
            <w:r>
              <w:rPr>
                <w:rFonts w:hint="eastAsia"/>
                <w:color w:val="auto"/>
                <w:highlight w:val="none"/>
              </w:rPr>
              <w:t>（1）</w:t>
            </w:r>
            <w:r>
              <w:rPr>
                <w:rFonts w:hint="eastAsia"/>
                <w:color w:val="auto"/>
                <w:highlight w:val="none"/>
                <w:lang w:val="en-US" w:eastAsia="zh-CN"/>
              </w:rPr>
              <w:t>卸矿站</w:t>
            </w:r>
          </w:p>
          <w:bookmarkEnd w:id="7"/>
          <w:p>
            <w:pPr>
              <w:pStyle w:val="32"/>
              <w:adjustRightInd w:val="0"/>
              <w:snapToGrid w:val="0"/>
              <w:ind w:firstLine="480"/>
              <w:rPr>
                <w:color w:val="auto"/>
                <w:highlight w:val="none"/>
              </w:rPr>
            </w:pPr>
            <w:r>
              <w:rPr>
                <w:rFonts w:hint="eastAsia"/>
                <w:color w:val="auto"/>
                <w:highlight w:val="none"/>
                <w:lang w:val="en-US" w:eastAsia="zh-CN"/>
              </w:rPr>
              <w:t>卸矿站为钢结构仓库，兼具原矿、成品矿装卸、称重及取样功能。仓库建筑高度为16.5m，东西方向最大尺寸为105m，南北方向最大尺寸为72m，总占地面积为7380m</w:t>
            </w:r>
            <w:r>
              <w:rPr>
                <w:rFonts w:hint="eastAsia"/>
                <w:color w:val="auto"/>
                <w:highlight w:val="none"/>
                <w:vertAlign w:val="superscript"/>
                <w:lang w:val="en-US" w:eastAsia="zh-CN"/>
              </w:rPr>
              <w:t>2</w:t>
            </w:r>
            <w:r>
              <w:rPr>
                <w:rFonts w:hint="eastAsia"/>
                <w:color w:val="auto"/>
                <w:highlight w:val="none"/>
                <w:lang w:val="en-US" w:eastAsia="zh-CN"/>
              </w:rPr>
              <w:t>。仓库分南北两跨布置，北侧处理原矿，南侧处理成品矿。仓库西北侧2~7轴交H~M轴区域设有原矿地面堆存区域，西南侧2~6轴交B~F轴区域设有成品矿地面堆存区域。原矿堆存区域、成品矿堆存区域四周均设高于地面6m的砼挡墙，区域上方均设有布料机。1~7轴交G~H轴6m钢平台上设有1#胶带输送机，1~13轴交F~G轴区域设有2#胶带输送机，1~6轴交A~B轴6m钢平台上设有3#胶带输送机，14~15轴交A~M轴区域设有4#胶带输送机。13~15轴交I~M轴区域自北向南依次设有1台全自动拆包机、2台8m</w:t>
            </w:r>
            <w:r>
              <w:rPr>
                <w:rFonts w:hint="eastAsia"/>
                <w:color w:val="auto"/>
                <w:highlight w:val="none"/>
                <w:vertAlign w:val="superscript"/>
                <w:lang w:val="en-US" w:eastAsia="zh-CN"/>
              </w:rPr>
              <w:t>3</w:t>
            </w:r>
            <w:r>
              <w:rPr>
                <w:rFonts w:hint="eastAsia"/>
                <w:color w:val="auto"/>
                <w:highlight w:val="none"/>
                <w:lang w:val="en-US" w:eastAsia="zh-CN"/>
              </w:rPr>
              <w:t>的中间料仓，在拆包机、料仓下面分别设有5#胶带输送机、6#胶带输送机，可将原矿转运至4#胶带输送机；11~13轴交E~G轴区域设有2台8m</w:t>
            </w:r>
            <w:r>
              <w:rPr>
                <w:rFonts w:hint="eastAsia"/>
                <w:color w:val="auto"/>
                <w:highlight w:val="none"/>
                <w:vertAlign w:val="superscript"/>
                <w:lang w:val="en-US" w:eastAsia="zh-CN"/>
              </w:rPr>
              <w:t>3</w:t>
            </w:r>
            <w:r>
              <w:rPr>
                <w:rFonts w:hint="eastAsia"/>
                <w:color w:val="auto"/>
                <w:highlight w:val="none"/>
                <w:lang w:val="en-US" w:eastAsia="zh-CN"/>
              </w:rPr>
              <w:t>的中间料仓，料仓下面均设有6#胶带输送机，可将成品矿转运至2#胶带输送机。仓库南北侧中部各设有2台汽车衡，用于库内转运车辆的称重；仓库北侧设1台葫芦双梁起重机（Q=5t，H=12.5m），用于吨袋物料的吊运、设备检修等；仓库主厂房外部的9~12轴交M~P轴区域设有2台洗车机，用于出库车辆的清洗</w:t>
            </w:r>
            <w:r>
              <w:rPr>
                <w:rFonts w:hint="eastAsia"/>
                <w:color w:val="auto"/>
                <w:highlight w:val="none"/>
              </w:rPr>
              <w:t>。</w:t>
            </w:r>
          </w:p>
          <w:p>
            <w:pPr>
              <w:pStyle w:val="32"/>
              <w:adjustRightInd w:val="0"/>
              <w:snapToGrid w:val="0"/>
              <w:ind w:firstLine="480"/>
              <w:rPr>
                <w:rFonts w:hint="eastAsia" w:eastAsia="宋体"/>
                <w:color w:val="auto"/>
                <w:highlight w:val="none"/>
                <w:lang w:eastAsia="zh-CN"/>
              </w:rPr>
            </w:pPr>
            <w:r>
              <w:rPr>
                <w:rFonts w:hint="eastAsia"/>
                <w:color w:val="auto"/>
                <w:highlight w:val="none"/>
              </w:rPr>
              <w:t>（2）</w:t>
            </w:r>
            <w:r>
              <w:rPr>
                <w:rFonts w:hint="eastAsia"/>
                <w:color w:val="auto"/>
                <w:highlight w:val="none"/>
                <w:lang w:eastAsia="zh-CN"/>
              </w:rPr>
              <w:t>混矿库</w:t>
            </w:r>
          </w:p>
          <w:p>
            <w:pPr>
              <w:pStyle w:val="32"/>
              <w:adjustRightInd w:val="0"/>
              <w:snapToGrid w:val="0"/>
              <w:ind w:firstLine="480"/>
              <w:rPr>
                <w:color w:val="auto"/>
                <w:highlight w:val="none"/>
              </w:rPr>
            </w:pPr>
            <w:r>
              <w:rPr>
                <w:rFonts w:hint="eastAsia"/>
                <w:color w:val="auto"/>
                <w:highlight w:val="none"/>
                <w:lang w:val="en-US" w:eastAsia="zh-CN"/>
              </w:rPr>
              <w:t>混矿库+副跨总占地面积为23796m</w:t>
            </w:r>
            <w:r>
              <w:rPr>
                <w:rFonts w:hint="eastAsia"/>
                <w:color w:val="auto"/>
                <w:highlight w:val="none"/>
                <w:vertAlign w:val="superscript"/>
                <w:lang w:val="en-US" w:eastAsia="zh-CN"/>
              </w:rPr>
              <w:t>2</w:t>
            </w:r>
            <w:r>
              <w:rPr>
                <w:rFonts w:hint="eastAsia"/>
                <w:color w:val="auto"/>
                <w:highlight w:val="none"/>
                <w:lang w:val="en-US" w:eastAsia="zh-CN"/>
              </w:rPr>
              <w:t>。混矿库东西方向长261m，南北方向长90m；副跨位于混矿库北侧(1-23轴、K-L区域)，长189m，宽9m；2个非标矿堆放区、4个标矿堆放区位于混矿库车间内部的南侧(1-31轴、A-E轴区域)，3个成品矿堆放区位于混矿库车间内部的北侧(1-26轴、G-K轴区域)，原料矿堆放区、成品矿堆放区均设高于地面6m的砼挡墙，厂房挡墙高度以上为钢柱、钢结构屋顶；S-11直拖式配料皮带+皮带秤、S-9成品矿带式输送机(东西向)、S-10原料矿带式输送机(东西向)、S-5成品矿布料带式输送机(东西向)、S-6原料矿布料带式输送机(东西向)、S-12中间料仓位于车间的中部(1-31轴、D-H区域)；S-18圆筒混料机、S-7混料仓带式输送机(东西向)、S-8混料仓带式输送机(南北向)位于车间的东侧(28-31轴、A-1/F轴)；车间25-26轴、G-K轴设有制样间、配电站、办公室</w:t>
            </w:r>
            <w:r>
              <w:rPr>
                <w:rFonts w:hint="eastAsia"/>
                <w:color w:val="auto"/>
                <w:highlight w:val="none"/>
              </w:rPr>
              <w:t>。</w:t>
            </w:r>
          </w:p>
          <w:p>
            <w:pPr>
              <w:pStyle w:val="32"/>
              <w:adjustRightInd w:val="0"/>
              <w:snapToGrid w:val="0"/>
              <w:ind w:firstLine="480"/>
              <w:rPr>
                <w:color w:val="auto"/>
                <w:highlight w:val="none"/>
              </w:rPr>
            </w:pPr>
            <w:r>
              <w:rPr>
                <w:rFonts w:hint="eastAsia"/>
                <w:color w:val="auto"/>
                <w:highlight w:val="none"/>
              </w:rPr>
              <w:t>（3）输送线</w:t>
            </w:r>
          </w:p>
          <w:p>
            <w:pPr>
              <w:pStyle w:val="32"/>
              <w:adjustRightInd w:val="0"/>
              <w:snapToGrid w:val="0"/>
              <w:ind w:firstLine="480"/>
              <w:rPr>
                <w:color w:val="auto"/>
                <w:highlight w:val="none"/>
              </w:rPr>
            </w:pPr>
            <w:r>
              <w:rPr>
                <w:rFonts w:hint="eastAsia"/>
                <w:color w:val="auto"/>
                <w:highlight w:val="none"/>
                <w:lang w:val="en-US" w:eastAsia="zh-CN"/>
              </w:rPr>
              <w:t>输送线的建设包括东南铜现有M-8#转运站的改造以及新建的进线管状带式输送机和出线管状带式输送机和M-9#转运站，新建的进出线管状带式输送机沿着保税物流中心外部道路布置，在保税大门位置向内部拐弯绕过</w:t>
            </w:r>
            <w:r>
              <w:rPr>
                <w:rFonts w:hint="eastAsia"/>
                <w:color w:val="auto"/>
                <w:highlight w:val="none"/>
              </w:rPr>
              <w:t>。</w:t>
            </w:r>
          </w:p>
          <w:p>
            <w:pPr>
              <w:pStyle w:val="32"/>
              <w:adjustRightInd w:val="0"/>
              <w:snapToGrid w:val="0"/>
              <w:ind w:firstLine="480"/>
              <w:rPr>
                <w:color w:val="auto"/>
                <w:highlight w:val="none"/>
              </w:rPr>
            </w:pPr>
            <w:r>
              <w:rPr>
                <w:rFonts w:hint="eastAsia"/>
                <w:color w:val="auto"/>
                <w:highlight w:val="none"/>
              </w:rPr>
              <w:t>（4）一般固废暂存间</w:t>
            </w:r>
          </w:p>
          <w:p>
            <w:pPr>
              <w:pStyle w:val="32"/>
              <w:adjustRightInd w:val="0"/>
              <w:snapToGrid w:val="0"/>
              <w:ind w:firstLine="480"/>
              <w:rPr>
                <w:color w:val="auto"/>
                <w:highlight w:val="none"/>
              </w:rPr>
            </w:pPr>
            <w:r>
              <w:rPr>
                <w:rFonts w:hint="eastAsia"/>
                <w:color w:val="auto"/>
                <w:highlight w:val="none"/>
              </w:rPr>
              <w:t>一般固废暂存间大小为4.5×4.5m，主要用于存放</w:t>
            </w:r>
            <w:r>
              <w:rPr>
                <w:rFonts w:hint="eastAsia"/>
                <w:color w:val="auto"/>
                <w:highlight w:val="none"/>
                <w:lang w:eastAsia="zh-CN"/>
              </w:rPr>
              <w:t>废滤芯</w:t>
            </w:r>
            <w:r>
              <w:rPr>
                <w:rFonts w:hint="eastAsia"/>
                <w:color w:val="auto"/>
                <w:highlight w:val="none"/>
              </w:rPr>
              <w:t>等固废，布置于</w:t>
            </w:r>
            <w:r>
              <w:rPr>
                <w:rFonts w:hint="eastAsia"/>
                <w:color w:val="auto"/>
                <w:highlight w:val="none"/>
                <w:lang w:val="en-US" w:eastAsia="zh-CN"/>
              </w:rPr>
              <w:t>卸矿站东侧</w:t>
            </w:r>
            <w:r>
              <w:rPr>
                <w:rFonts w:hint="eastAsia"/>
                <w:color w:val="auto"/>
                <w:highlight w:val="none"/>
              </w:rPr>
              <w:t>。</w:t>
            </w:r>
          </w:p>
          <w:p>
            <w:pPr>
              <w:pStyle w:val="32"/>
              <w:adjustRightInd w:val="0"/>
              <w:snapToGrid w:val="0"/>
              <w:ind w:firstLine="480"/>
              <w:rPr>
                <w:color w:val="auto"/>
                <w:highlight w:val="none"/>
              </w:rPr>
            </w:pPr>
            <w:r>
              <w:rPr>
                <w:rFonts w:hint="eastAsia"/>
                <w:color w:val="auto"/>
                <w:highlight w:val="none"/>
              </w:rPr>
              <w:t>（5）危废暂存间</w:t>
            </w:r>
          </w:p>
          <w:p>
            <w:pPr>
              <w:pStyle w:val="32"/>
              <w:adjustRightInd w:val="0"/>
              <w:snapToGrid w:val="0"/>
              <w:ind w:firstLine="480"/>
              <w:rPr>
                <w:color w:val="auto"/>
                <w:highlight w:val="none"/>
              </w:rPr>
            </w:pPr>
            <w:r>
              <w:rPr>
                <w:rFonts w:hint="eastAsia"/>
                <w:color w:val="auto"/>
                <w:highlight w:val="none"/>
              </w:rPr>
              <w:t>危废暂存间大小为4.5×4.5m，主要用于存放废机油等危废，布置于</w:t>
            </w:r>
            <w:r>
              <w:rPr>
                <w:rFonts w:hint="eastAsia"/>
                <w:color w:val="auto"/>
                <w:highlight w:val="none"/>
                <w:lang w:val="en-US" w:eastAsia="zh-CN"/>
              </w:rPr>
              <w:t>卸矿站东侧</w:t>
            </w:r>
            <w:r>
              <w:rPr>
                <w:rFonts w:hint="eastAsia"/>
                <w:color w:val="auto"/>
                <w:highlight w:val="none"/>
              </w:rPr>
              <w:t>。</w:t>
            </w:r>
          </w:p>
          <w:p>
            <w:pPr>
              <w:pStyle w:val="32"/>
              <w:adjustRightInd w:val="0"/>
              <w:snapToGrid w:val="0"/>
              <w:ind w:firstLine="480"/>
              <w:rPr>
                <w:color w:val="auto"/>
                <w:highlight w:val="none"/>
              </w:rPr>
            </w:pPr>
            <w:r>
              <w:rPr>
                <w:rFonts w:hint="eastAsia"/>
                <w:color w:val="auto"/>
                <w:highlight w:val="none"/>
              </w:rPr>
              <w:t>（6）初期雨水池</w:t>
            </w:r>
          </w:p>
          <w:p>
            <w:pPr>
              <w:pStyle w:val="32"/>
              <w:adjustRightInd w:val="0"/>
              <w:snapToGrid w:val="0"/>
              <w:ind w:firstLine="480"/>
              <w:rPr>
                <w:color w:val="auto"/>
                <w:highlight w:val="none"/>
              </w:rPr>
            </w:pPr>
            <w:r>
              <w:rPr>
                <w:rFonts w:hint="eastAsia"/>
                <w:color w:val="auto"/>
                <w:highlight w:val="none"/>
              </w:rPr>
              <w:t>室外道路路面初期雨水经排水沟排至初期雨水收集池，初期雨水池收集前15min的雨水量，有效容积</w:t>
            </w:r>
            <w:r>
              <w:rPr>
                <w:rFonts w:hint="eastAsia"/>
                <w:color w:val="auto"/>
                <w:highlight w:val="none"/>
                <w:lang w:val="en-US" w:eastAsia="zh-CN"/>
              </w:rPr>
              <w:t>525</w:t>
            </w:r>
            <w:r>
              <w:rPr>
                <w:rFonts w:hint="eastAsia"/>
                <w:color w:val="auto"/>
                <w:highlight w:val="none"/>
              </w:rPr>
              <w:t>m</w:t>
            </w:r>
            <w:r>
              <w:rPr>
                <w:rFonts w:hint="eastAsia"/>
                <w:color w:val="auto"/>
                <w:highlight w:val="none"/>
                <w:vertAlign w:val="superscript"/>
              </w:rPr>
              <w:t>3</w:t>
            </w:r>
            <w:r>
              <w:rPr>
                <w:rFonts w:hint="eastAsia"/>
                <w:color w:val="auto"/>
                <w:highlight w:val="none"/>
              </w:rPr>
              <w:t>，设计标高为5.50m，采用钢筋混凝土结构。布置于</w:t>
            </w:r>
            <w:r>
              <w:rPr>
                <w:rFonts w:hint="eastAsia"/>
                <w:color w:val="auto"/>
                <w:highlight w:val="none"/>
                <w:lang w:val="en-US" w:eastAsia="zh-CN"/>
              </w:rPr>
              <w:t>卸矿站</w:t>
            </w:r>
            <w:r>
              <w:rPr>
                <w:rFonts w:hint="eastAsia"/>
                <w:color w:val="auto"/>
                <w:highlight w:val="none"/>
              </w:rPr>
              <w:t>北侧。</w:t>
            </w:r>
          </w:p>
          <w:p>
            <w:pPr>
              <w:pStyle w:val="32"/>
              <w:adjustRightInd w:val="0"/>
              <w:snapToGrid w:val="0"/>
              <w:ind w:firstLine="480"/>
              <w:rPr>
                <w:color w:val="auto"/>
                <w:highlight w:val="none"/>
              </w:rPr>
            </w:pPr>
            <w:r>
              <w:rPr>
                <w:rFonts w:hint="eastAsia"/>
                <w:color w:val="auto"/>
                <w:highlight w:val="none"/>
              </w:rPr>
              <w:t>项目的原料区和成品区位于仓库内。本项目在封闭式车间内进行生产，功能明确，布局较为合理，总平面布置详见附图3。</w:t>
            </w:r>
          </w:p>
          <w:p>
            <w:pPr>
              <w:pStyle w:val="32"/>
              <w:adjustRightInd w:val="0"/>
              <w:snapToGrid w:val="0"/>
              <w:ind w:firstLine="480"/>
              <w:rPr>
                <w:color w:val="auto"/>
                <w:highlight w:val="none"/>
              </w:rPr>
            </w:pPr>
            <w:r>
              <w:rPr>
                <w:rFonts w:hint="eastAsia"/>
                <w:color w:val="auto"/>
                <w:highlight w:val="none"/>
              </w:rPr>
              <w:t>2.项目平面布置合理性</w:t>
            </w:r>
          </w:p>
          <w:p>
            <w:pPr>
              <w:pStyle w:val="32"/>
              <w:adjustRightInd w:val="0"/>
              <w:snapToGrid w:val="0"/>
              <w:ind w:firstLine="480"/>
              <w:rPr>
                <w:rFonts w:hint="default" w:eastAsia="宋体"/>
                <w:color w:val="auto"/>
                <w:highlight w:val="none"/>
                <w:lang w:val="en-US" w:eastAsia="zh-CN"/>
              </w:rPr>
            </w:pPr>
            <w:r>
              <w:rPr>
                <w:rFonts w:hint="eastAsia"/>
                <w:color w:val="auto"/>
                <w:highlight w:val="none"/>
                <w:lang w:val="en-US" w:eastAsia="zh-CN"/>
              </w:rPr>
              <w:t>项目布局于封闭仓库内，外部皮带输送依托现有的皮带输送系统进行改造，故主要考虑内部工艺流程。</w:t>
            </w:r>
          </w:p>
          <w:p>
            <w:pPr>
              <w:pStyle w:val="32"/>
              <w:adjustRightInd w:val="0"/>
              <w:snapToGrid w:val="0"/>
              <w:ind w:firstLine="480"/>
              <w:rPr>
                <w:color w:val="auto"/>
                <w:highlight w:val="none"/>
              </w:rPr>
            </w:pPr>
            <w:r>
              <w:rPr>
                <w:rFonts w:hint="eastAsia"/>
                <w:color w:val="auto"/>
                <w:highlight w:val="none"/>
              </w:rPr>
              <w:t>（1）生产区集中布置，工艺流程合理，布局紧凑，方便管理，而且各污染源集中布置，有利于污染治理和环境保护。</w:t>
            </w:r>
          </w:p>
          <w:p>
            <w:pPr>
              <w:pStyle w:val="32"/>
              <w:adjustRightInd w:val="0"/>
              <w:snapToGrid w:val="0"/>
              <w:ind w:firstLine="480"/>
              <w:rPr>
                <w:color w:val="auto"/>
                <w:highlight w:val="none"/>
              </w:rPr>
            </w:pPr>
            <w:r>
              <w:rPr>
                <w:rFonts w:hint="eastAsia"/>
                <w:color w:val="auto"/>
                <w:highlight w:val="none"/>
              </w:rPr>
              <w:t>（2）项目厂区总体已按各功能分区布置，平面布置本着有利于生产、方便管理、确保安全、保护环境，在满足安全生产的前提下，做到流程合理、管线短、交通畅顺，达到节约用地的目的。</w:t>
            </w:r>
          </w:p>
          <w:p>
            <w:pPr>
              <w:pStyle w:val="32"/>
              <w:adjustRightInd w:val="0"/>
              <w:snapToGrid w:val="0"/>
              <w:ind w:firstLine="480"/>
              <w:rPr>
                <w:color w:val="auto"/>
                <w:highlight w:val="none"/>
              </w:rPr>
            </w:pPr>
            <w:r>
              <w:rPr>
                <w:rFonts w:hint="eastAsia"/>
                <w:color w:val="auto"/>
                <w:highlight w:val="none"/>
              </w:rPr>
              <w:t>综上所述，项目总平布置基本合理。</w:t>
            </w:r>
          </w:p>
          <w:p>
            <w:pPr>
              <w:pStyle w:val="32"/>
              <w:spacing w:before="75" w:line="375" w:lineRule="auto"/>
              <w:ind w:right="103" w:firstLine="0" w:firstLineChars="0"/>
              <w:rPr>
                <w:color w:val="auto"/>
                <w:highlight w:val="none"/>
              </w:rPr>
            </w:pPr>
            <w:r>
              <w:rPr>
                <w:rFonts w:hint="eastAsia"/>
                <w:b/>
                <w:bCs/>
                <w:color w:val="auto"/>
                <w:highlight w:val="none"/>
              </w:rPr>
              <w:t>2.1.2.6 公用工程</w:t>
            </w:r>
          </w:p>
          <w:p>
            <w:pPr>
              <w:pStyle w:val="32"/>
              <w:adjustRightInd w:val="0"/>
              <w:snapToGrid w:val="0"/>
              <w:ind w:firstLine="480"/>
              <w:rPr>
                <w:color w:val="auto"/>
                <w:highlight w:val="none"/>
              </w:rPr>
            </w:pPr>
            <w:r>
              <w:rPr>
                <w:rFonts w:hint="eastAsia"/>
                <w:color w:val="auto"/>
                <w:highlight w:val="none"/>
              </w:rPr>
              <w:t>1.给水</w:t>
            </w:r>
          </w:p>
          <w:p>
            <w:pPr>
              <w:pStyle w:val="32"/>
              <w:adjustRightInd w:val="0"/>
              <w:snapToGrid w:val="0"/>
              <w:ind w:firstLine="480"/>
              <w:rPr>
                <w:color w:val="auto"/>
                <w:highlight w:val="none"/>
              </w:rPr>
            </w:pPr>
            <w:r>
              <w:rPr>
                <w:rFonts w:hint="eastAsia"/>
                <w:color w:val="auto"/>
                <w:highlight w:val="none"/>
              </w:rPr>
              <w:t>本项目用水来自市政供水管网供水。</w:t>
            </w:r>
          </w:p>
          <w:p>
            <w:pPr>
              <w:pStyle w:val="32"/>
              <w:adjustRightInd w:val="0"/>
              <w:snapToGrid w:val="0"/>
              <w:ind w:firstLine="480"/>
              <w:rPr>
                <w:color w:val="auto"/>
                <w:highlight w:val="none"/>
              </w:rPr>
            </w:pPr>
            <w:r>
              <w:rPr>
                <w:rFonts w:hint="eastAsia"/>
                <w:color w:val="auto"/>
                <w:highlight w:val="none"/>
              </w:rPr>
              <w:t>2.排水</w:t>
            </w:r>
          </w:p>
          <w:p>
            <w:pPr>
              <w:pStyle w:val="32"/>
              <w:adjustRightInd w:val="0"/>
              <w:snapToGrid w:val="0"/>
              <w:ind w:firstLine="480"/>
              <w:rPr>
                <w:color w:val="auto"/>
                <w:highlight w:val="none"/>
              </w:rPr>
            </w:pPr>
            <w:r>
              <w:rPr>
                <w:rFonts w:hint="eastAsia"/>
                <w:color w:val="auto"/>
                <w:highlight w:val="none"/>
              </w:rPr>
              <w:t>项目外排废水主要为生活污水。</w:t>
            </w:r>
            <w:r>
              <w:rPr>
                <w:rFonts w:hint="eastAsia"/>
                <w:color w:val="auto"/>
                <w:spacing w:val="-4"/>
                <w:highlight w:val="none"/>
              </w:rPr>
              <w:t>生活污水经保税物流中心（B型）内</w:t>
            </w:r>
            <w:r>
              <w:rPr>
                <w:rFonts w:hint="eastAsia"/>
                <w:color w:val="auto"/>
                <w:spacing w:val="-3"/>
                <w:highlight w:val="none"/>
              </w:rPr>
              <w:t>化粪池</w:t>
            </w:r>
            <w:r>
              <w:rPr>
                <w:rFonts w:hint="eastAsia"/>
                <w:color w:val="auto"/>
                <w:highlight w:val="none"/>
              </w:rPr>
              <w:t>处理达到《污水综合排放标准》（GB8978-1996）三级标准并且同时满足漳湾临港工业区临时一体化污水处理厂水质进水标准后排入</w:t>
            </w:r>
            <w:r>
              <w:rPr>
                <w:rFonts w:hint="eastAsia"/>
                <w:color w:val="auto"/>
                <w:szCs w:val="21"/>
                <w:highlight w:val="none"/>
              </w:rPr>
              <w:t>市政污水管网，最终进入</w:t>
            </w:r>
            <w:r>
              <w:rPr>
                <w:rFonts w:hint="eastAsia"/>
                <w:color w:val="auto"/>
                <w:highlight w:val="none"/>
              </w:rPr>
              <w:t>漳湾临港工业区临时一体化污水处理厂</w:t>
            </w:r>
            <w:r>
              <w:rPr>
                <w:rFonts w:hint="eastAsia"/>
                <w:color w:val="auto"/>
                <w:spacing w:val="-4"/>
                <w:highlight w:val="none"/>
              </w:rPr>
              <w:t>进一步处理后排放。</w:t>
            </w:r>
          </w:p>
          <w:p>
            <w:pPr>
              <w:pStyle w:val="32"/>
              <w:adjustRightInd w:val="0"/>
              <w:snapToGrid w:val="0"/>
              <w:ind w:firstLine="480"/>
              <w:rPr>
                <w:color w:val="auto"/>
                <w:highlight w:val="none"/>
              </w:rPr>
            </w:pPr>
            <w:r>
              <w:rPr>
                <w:rFonts w:hint="eastAsia"/>
                <w:color w:val="auto"/>
                <w:highlight w:val="none"/>
              </w:rPr>
              <w:t>项目洗车废水、</w:t>
            </w:r>
            <w:r>
              <w:rPr>
                <w:rFonts w:hint="eastAsia"/>
                <w:color w:val="auto"/>
                <w:highlight w:val="none"/>
                <w:lang w:val="en-US" w:eastAsia="zh-CN"/>
              </w:rPr>
              <w:t>洗手池废水、</w:t>
            </w:r>
            <w:r>
              <w:rPr>
                <w:rFonts w:hint="eastAsia"/>
                <w:color w:val="auto"/>
                <w:highlight w:val="none"/>
              </w:rPr>
              <w:t>地面冲洗废水等经循环回用水池</w:t>
            </w:r>
            <w:r>
              <w:rPr>
                <w:rFonts w:hint="eastAsia"/>
                <w:color w:val="auto"/>
                <w:highlight w:val="none"/>
                <w:lang w:val="en-US" w:eastAsia="zh-CN"/>
              </w:rPr>
              <w:t>混凝</w:t>
            </w:r>
            <w:r>
              <w:rPr>
                <w:rFonts w:hint="eastAsia"/>
                <w:color w:val="auto"/>
                <w:highlight w:val="none"/>
              </w:rPr>
              <w:t>沉淀后循环使用，不外排</w:t>
            </w:r>
            <w:r>
              <w:rPr>
                <w:color w:val="auto"/>
                <w:highlight w:val="none"/>
              </w:rPr>
              <w:t>。</w:t>
            </w:r>
          </w:p>
          <w:p>
            <w:pPr>
              <w:pStyle w:val="32"/>
              <w:adjustRightInd w:val="0"/>
              <w:snapToGrid w:val="0"/>
              <w:ind w:firstLine="480"/>
              <w:rPr>
                <w:color w:val="auto"/>
                <w:highlight w:val="none"/>
              </w:rPr>
            </w:pPr>
            <w:r>
              <w:rPr>
                <w:rFonts w:hint="eastAsia"/>
                <w:color w:val="auto"/>
                <w:highlight w:val="none"/>
              </w:rPr>
              <w:t>3.电力</w:t>
            </w:r>
          </w:p>
          <w:p>
            <w:pPr>
              <w:pStyle w:val="32"/>
              <w:adjustRightInd w:val="0"/>
              <w:snapToGrid w:val="0"/>
              <w:ind w:firstLine="480"/>
              <w:rPr>
                <w:color w:val="auto"/>
                <w:highlight w:val="none"/>
              </w:rPr>
            </w:pPr>
            <w:r>
              <w:rPr>
                <w:rFonts w:hint="eastAsia"/>
                <w:color w:val="auto"/>
                <w:highlight w:val="none"/>
              </w:rPr>
              <w:t>项目用电由当地供电局提供，</w:t>
            </w:r>
            <w:r>
              <w:rPr>
                <w:rFonts w:hint="eastAsia"/>
                <w:color w:val="auto"/>
                <w:highlight w:val="none"/>
                <w:lang w:val="en-US" w:eastAsia="zh-CN"/>
              </w:rPr>
              <w:t>拟在混矿库</w:t>
            </w:r>
            <w:r>
              <w:rPr>
                <w:rFonts w:hint="eastAsia"/>
                <w:color w:val="auto"/>
                <w:highlight w:val="none"/>
              </w:rPr>
              <w:t>内</w:t>
            </w:r>
            <w:r>
              <w:rPr>
                <w:rFonts w:hint="eastAsia"/>
                <w:color w:val="auto"/>
                <w:highlight w:val="none"/>
                <w:lang w:val="en-US" w:eastAsia="zh-CN"/>
              </w:rPr>
              <w:t>新建</w:t>
            </w:r>
            <w:r>
              <w:rPr>
                <w:rFonts w:hint="eastAsia"/>
                <w:color w:val="auto"/>
                <w:highlight w:val="none"/>
              </w:rPr>
              <w:t>变配电设施。</w:t>
            </w:r>
          </w:p>
          <w:p>
            <w:pPr>
              <w:pStyle w:val="32"/>
              <w:spacing w:before="75" w:line="375" w:lineRule="auto"/>
              <w:ind w:right="103" w:firstLine="0" w:firstLineChars="0"/>
              <w:rPr>
                <w:color w:val="auto"/>
                <w:highlight w:val="none"/>
              </w:rPr>
            </w:pPr>
            <w:r>
              <w:rPr>
                <w:rFonts w:hint="eastAsia"/>
                <w:b/>
                <w:bCs/>
                <w:color w:val="auto"/>
                <w:highlight w:val="none"/>
              </w:rPr>
              <w:t>2.1.2.7 贮运工程</w:t>
            </w:r>
          </w:p>
          <w:p>
            <w:pPr>
              <w:pStyle w:val="32"/>
              <w:adjustRightInd w:val="0"/>
              <w:snapToGrid w:val="0"/>
              <w:ind w:firstLine="480"/>
              <w:rPr>
                <w:color w:val="auto"/>
                <w:highlight w:val="none"/>
              </w:rPr>
            </w:pPr>
            <w:r>
              <w:rPr>
                <w:rFonts w:hint="eastAsia"/>
                <w:color w:val="auto"/>
                <w:highlight w:val="none"/>
              </w:rPr>
              <w:t>1.码头卸船</w:t>
            </w:r>
          </w:p>
          <w:p>
            <w:pPr>
              <w:pStyle w:val="32"/>
              <w:adjustRightInd w:val="0"/>
              <w:snapToGrid w:val="0"/>
              <w:ind w:firstLine="480"/>
              <w:rPr>
                <w:color w:val="auto"/>
                <w:highlight w:val="none"/>
              </w:rPr>
            </w:pPr>
            <w:r>
              <w:rPr>
                <w:rFonts w:hint="eastAsia"/>
                <w:color w:val="auto"/>
                <w:szCs w:val="22"/>
                <w:highlight w:val="none"/>
              </w:rPr>
              <w:t>非标铜精矿</w:t>
            </w:r>
            <w:r>
              <w:rPr>
                <w:rFonts w:hint="eastAsia"/>
                <w:bCs/>
                <w:color w:val="auto"/>
                <w:szCs w:val="21"/>
                <w:highlight w:val="none"/>
              </w:rPr>
              <w:t>A矿</w:t>
            </w:r>
            <w:r>
              <w:rPr>
                <w:rFonts w:hint="eastAsia"/>
                <w:color w:val="auto"/>
                <w:szCs w:val="22"/>
                <w:highlight w:val="none"/>
              </w:rPr>
              <w:t>和</w:t>
            </w:r>
            <w:r>
              <w:rPr>
                <w:rFonts w:hint="eastAsia"/>
                <w:bCs/>
                <w:color w:val="auto"/>
                <w:szCs w:val="21"/>
                <w:highlight w:val="none"/>
              </w:rPr>
              <w:t>标准矿B矿均</w:t>
            </w:r>
            <w:r>
              <w:rPr>
                <w:rFonts w:hint="eastAsia"/>
                <w:color w:val="auto"/>
                <w:szCs w:val="22"/>
                <w:highlight w:val="none"/>
              </w:rPr>
              <w:t>从海外市场采购。通过货轮运输至三都澳港区漳湾作业区。根据《福州港三都澳港区漳湾作业区8#、9#泊位工程竣工环境保护验收调查报告》《福州港三都澳港区漳湾作业区10号泊位工程（浓硫酸和铜精矿货种配套工程）竣工环境保护验收调查报告》，原料到港为散货和集装箱</w:t>
            </w:r>
            <w:r>
              <w:rPr>
                <w:rFonts w:hint="eastAsia"/>
                <w:color w:val="auto"/>
                <w:szCs w:val="22"/>
                <w:highlight w:val="none"/>
                <w:lang w:eastAsia="zh-CN"/>
              </w:rPr>
              <w:t>（</w:t>
            </w:r>
            <w:r>
              <w:rPr>
                <w:rFonts w:hint="eastAsia"/>
                <w:color w:val="auto"/>
                <w:szCs w:val="22"/>
                <w:highlight w:val="none"/>
                <w:lang w:val="en-US" w:eastAsia="zh-CN"/>
              </w:rPr>
              <w:t>含吨袋</w:t>
            </w:r>
            <w:r>
              <w:rPr>
                <w:rFonts w:hint="eastAsia"/>
                <w:color w:val="auto"/>
                <w:szCs w:val="22"/>
                <w:highlight w:val="none"/>
                <w:lang w:eastAsia="zh-CN"/>
              </w:rPr>
              <w:t>）</w:t>
            </w:r>
            <w:r>
              <w:rPr>
                <w:rFonts w:hint="eastAsia"/>
                <w:color w:val="auto"/>
                <w:szCs w:val="22"/>
                <w:highlight w:val="none"/>
              </w:rPr>
              <w:t>。本项目采用</w:t>
            </w:r>
            <w:r>
              <w:rPr>
                <w:color w:val="auto"/>
                <w:szCs w:val="22"/>
                <w:highlight w:val="none"/>
              </w:rPr>
              <w:t>两种</w:t>
            </w:r>
            <w:r>
              <w:rPr>
                <w:rFonts w:hint="eastAsia"/>
                <w:color w:val="auto"/>
                <w:szCs w:val="22"/>
                <w:highlight w:val="none"/>
              </w:rPr>
              <w:t>输送方式：</w:t>
            </w:r>
            <w:r>
              <w:rPr>
                <w:bCs/>
                <w:color w:val="auto"/>
                <w:szCs w:val="21"/>
                <w:highlight w:val="none"/>
              </w:rPr>
              <w:t>散货</w:t>
            </w:r>
            <w:r>
              <w:rPr>
                <w:rFonts w:hint="eastAsia"/>
                <w:bCs/>
                <w:color w:val="auto"/>
                <w:szCs w:val="21"/>
                <w:highlight w:val="none"/>
              </w:rPr>
              <w:t>原料到港后，卸料至</w:t>
            </w:r>
            <w:r>
              <w:rPr>
                <w:rFonts w:hint="eastAsia"/>
                <w:bCs/>
                <w:color w:val="auto"/>
                <w:szCs w:val="21"/>
                <w:highlight w:val="none"/>
                <w:lang w:val="en-US" w:eastAsia="zh-CN"/>
              </w:rPr>
              <w:t>皮</w:t>
            </w:r>
            <w:r>
              <w:rPr>
                <w:rFonts w:hint="eastAsia"/>
                <w:bCs/>
                <w:color w:val="auto"/>
                <w:szCs w:val="21"/>
                <w:highlight w:val="none"/>
              </w:rPr>
              <w:t>带输送机，</w:t>
            </w:r>
            <w:r>
              <w:rPr>
                <w:rFonts w:hint="eastAsia"/>
                <w:color w:val="auto"/>
                <w:highlight w:val="none"/>
              </w:rPr>
              <w:t>经皮带输送至本项目</w:t>
            </w:r>
            <w:r>
              <w:rPr>
                <w:rFonts w:hint="eastAsia"/>
                <w:color w:val="auto"/>
                <w:highlight w:val="none"/>
                <w:lang w:val="en-US" w:eastAsia="zh-CN"/>
              </w:rPr>
              <w:t>卸矿站</w:t>
            </w:r>
            <w:r>
              <w:rPr>
                <w:rFonts w:hint="eastAsia"/>
                <w:color w:val="auto"/>
                <w:highlight w:val="none"/>
              </w:rPr>
              <w:t>内卸料；</w:t>
            </w:r>
            <w:r>
              <w:rPr>
                <w:rFonts w:hint="eastAsia"/>
                <w:color w:val="auto"/>
                <w:highlight w:val="none"/>
                <w:lang w:val="en-US" w:eastAsia="zh-CN"/>
              </w:rPr>
              <w:t>皮带输送检修过程，</w:t>
            </w:r>
            <w:r>
              <w:rPr>
                <w:rFonts w:hint="eastAsia"/>
                <w:bCs/>
                <w:color w:val="auto"/>
                <w:szCs w:val="21"/>
                <w:highlight w:val="none"/>
              </w:rPr>
              <w:t>集装箱</w:t>
            </w:r>
            <w:r>
              <w:rPr>
                <w:rFonts w:hint="eastAsia"/>
                <w:color w:val="auto"/>
                <w:highlight w:val="none"/>
                <w:lang w:val="en-US" w:eastAsia="zh-CN"/>
              </w:rPr>
              <w:t>或吨袋</w:t>
            </w:r>
            <w:r>
              <w:rPr>
                <w:rFonts w:hint="eastAsia"/>
                <w:bCs/>
                <w:color w:val="auto"/>
                <w:szCs w:val="21"/>
                <w:highlight w:val="none"/>
              </w:rPr>
              <w:t>到港后，</w:t>
            </w:r>
            <w:r>
              <w:rPr>
                <w:rFonts w:hint="eastAsia"/>
                <w:color w:val="auto"/>
                <w:szCs w:val="22"/>
                <w:highlight w:val="none"/>
              </w:rPr>
              <w:t>通过汽车转运至本项目</w:t>
            </w:r>
            <w:r>
              <w:rPr>
                <w:rFonts w:hint="eastAsia"/>
                <w:color w:val="auto"/>
                <w:szCs w:val="22"/>
                <w:highlight w:val="none"/>
                <w:lang w:eastAsia="zh-CN"/>
              </w:rPr>
              <w:t>封闭</w:t>
            </w:r>
            <w:r>
              <w:rPr>
                <w:rFonts w:hint="eastAsia"/>
                <w:color w:val="auto"/>
                <w:highlight w:val="none"/>
                <w:lang w:val="en-US" w:eastAsia="zh-CN"/>
              </w:rPr>
              <w:t>卸矿站</w:t>
            </w:r>
            <w:r>
              <w:rPr>
                <w:rFonts w:hint="eastAsia"/>
                <w:color w:val="auto"/>
                <w:szCs w:val="22"/>
                <w:highlight w:val="none"/>
              </w:rPr>
              <w:t>内进行卸料</w:t>
            </w:r>
            <w:r>
              <w:rPr>
                <w:rFonts w:hint="eastAsia"/>
                <w:color w:val="auto"/>
                <w:highlight w:val="none"/>
              </w:rPr>
              <w:t>。</w:t>
            </w:r>
          </w:p>
          <w:p>
            <w:pPr>
              <w:pStyle w:val="32"/>
              <w:adjustRightInd w:val="0"/>
              <w:snapToGrid w:val="0"/>
              <w:ind w:firstLine="480"/>
              <w:rPr>
                <w:bCs/>
                <w:color w:val="auto"/>
                <w:szCs w:val="21"/>
                <w:highlight w:val="none"/>
              </w:rPr>
            </w:pPr>
            <w:r>
              <w:rPr>
                <w:rFonts w:hint="eastAsia"/>
                <w:bCs/>
                <w:color w:val="auto"/>
                <w:szCs w:val="21"/>
                <w:highlight w:val="none"/>
              </w:rPr>
              <w:t>（1）散货卸料</w:t>
            </w:r>
          </w:p>
          <w:p>
            <w:pPr>
              <w:pStyle w:val="32"/>
              <w:adjustRightInd w:val="0"/>
              <w:snapToGrid w:val="0"/>
              <w:ind w:firstLine="480"/>
              <w:rPr>
                <w:color w:val="auto"/>
                <w:highlight w:val="none"/>
              </w:rPr>
            </w:pPr>
            <w:r>
              <w:rPr>
                <w:rFonts w:hint="eastAsia"/>
                <w:bCs/>
                <w:color w:val="auto"/>
                <w:szCs w:val="21"/>
                <w:highlight w:val="none"/>
              </w:rPr>
              <w:t>A矿、</w:t>
            </w:r>
            <w:r>
              <w:rPr>
                <w:rFonts w:hint="eastAsia"/>
                <w:color w:val="auto"/>
                <w:highlight w:val="none"/>
              </w:rPr>
              <w:t>B矿散货到港后，装卸工艺如下：</w:t>
            </w:r>
          </w:p>
          <w:p>
            <w:pPr>
              <w:pStyle w:val="32"/>
              <w:adjustRightInd w:val="0"/>
              <w:snapToGrid w:val="0"/>
              <w:ind w:firstLine="480"/>
              <w:rPr>
                <w:color w:val="auto"/>
                <w:highlight w:val="none"/>
              </w:rPr>
            </w:pPr>
            <w:r>
              <w:rPr>
                <w:rFonts w:hint="eastAsia"/>
                <w:color w:val="auto"/>
                <w:highlight w:val="none"/>
              </w:rPr>
              <w:t>运输货船到港后进行卸料。装卸前必须进行码头前沿的清理工作，清理完成后再进行铜精矿的装卸运输，并且铜精矿装卸完成后必须对现场进行清理。</w:t>
            </w:r>
          </w:p>
          <w:p>
            <w:pPr>
              <w:pStyle w:val="32"/>
              <w:adjustRightInd w:val="0"/>
              <w:snapToGrid w:val="0"/>
              <w:ind w:firstLine="480"/>
              <w:rPr>
                <w:rFonts w:hint="default" w:eastAsia="宋体"/>
                <w:color w:val="auto"/>
                <w:highlight w:val="none"/>
                <w:lang w:val="en-US" w:eastAsia="zh-CN"/>
              </w:rPr>
            </w:pPr>
            <w:r>
              <w:rPr>
                <w:rFonts w:hint="eastAsia"/>
                <w:color w:val="auto"/>
                <w:highlight w:val="none"/>
              </w:rPr>
              <w:t>根据</w:t>
            </w:r>
            <w:r>
              <w:rPr>
                <w:rFonts w:hint="eastAsia"/>
                <w:color w:val="auto"/>
                <w:szCs w:val="22"/>
                <w:highlight w:val="none"/>
              </w:rPr>
              <w:t>《福州港三都澳港区漳湾作业区8#、9#泊位工程竣工环境保护验收调查报告》《福州港三都澳港区漳湾作业区10号泊位工程（浓硫酸和铜精矿货种配套工程）竣工环境保护验收调查报告》，</w:t>
            </w:r>
            <w:r>
              <w:rPr>
                <w:rFonts w:hint="eastAsia"/>
                <w:color w:val="auto"/>
                <w:highlight w:val="none"/>
              </w:rPr>
              <w:t>码头前沿装卸采用的门座式起重机。港口物料卸货均采用半封闭式抓斗，该抓斗下半部分为封闭式，上方为半敞开式。由于铜精矿成本昂贵，每吨高达2-3万元，因此装卸方在考虑成本的情况下，不会发生抓斗铜精矿过剩的情况发生。</w:t>
            </w:r>
          </w:p>
          <w:p>
            <w:pPr>
              <w:pStyle w:val="32"/>
              <w:adjustRightInd w:val="0"/>
              <w:snapToGrid w:val="0"/>
              <w:ind w:firstLine="480"/>
              <w:rPr>
                <w:color w:val="auto"/>
                <w:highlight w:val="none"/>
              </w:rPr>
            </w:pPr>
            <w:r>
              <w:rPr>
                <w:rFonts w:hint="eastAsia"/>
                <w:color w:val="auto"/>
                <w:highlight w:val="none"/>
              </w:rPr>
              <w:t>（2）</w:t>
            </w:r>
            <w:r>
              <w:rPr>
                <w:rFonts w:hint="eastAsia"/>
                <w:color w:val="auto"/>
                <w:highlight w:val="none"/>
                <w:lang w:val="en-US" w:eastAsia="zh-CN"/>
              </w:rPr>
              <w:t>吨袋和集装箱</w:t>
            </w:r>
            <w:r>
              <w:rPr>
                <w:rFonts w:hint="eastAsia"/>
                <w:color w:val="auto"/>
                <w:highlight w:val="none"/>
              </w:rPr>
              <w:t>卸料</w:t>
            </w:r>
          </w:p>
          <w:p>
            <w:pPr>
              <w:pStyle w:val="32"/>
              <w:adjustRightInd w:val="0"/>
              <w:snapToGrid w:val="0"/>
              <w:ind w:firstLine="480"/>
              <w:rPr>
                <w:color w:val="auto"/>
                <w:highlight w:val="none"/>
              </w:rPr>
            </w:pPr>
            <w:r>
              <w:rPr>
                <w:rFonts w:hint="eastAsia"/>
                <w:color w:val="auto"/>
                <w:highlight w:val="none"/>
              </w:rPr>
              <w:t>若是</w:t>
            </w:r>
            <w:r>
              <w:rPr>
                <w:rFonts w:hint="eastAsia"/>
                <w:color w:val="auto"/>
                <w:highlight w:val="none"/>
                <w:lang w:val="en-US" w:eastAsia="zh-CN"/>
              </w:rPr>
              <w:t>吨袋和集装箱</w:t>
            </w:r>
            <w:r>
              <w:rPr>
                <w:rFonts w:hint="eastAsia"/>
                <w:color w:val="auto"/>
                <w:highlight w:val="none"/>
              </w:rPr>
              <w:t>到港，</w:t>
            </w:r>
            <w:r>
              <w:rPr>
                <w:rFonts w:hint="eastAsia"/>
                <w:color w:val="auto"/>
                <w:highlight w:val="none"/>
                <w:lang w:val="en-US" w:eastAsia="zh-CN"/>
              </w:rPr>
              <w:t>吨袋和集装箱</w:t>
            </w:r>
            <w:r>
              <w:rPr>
                <w:rFonts w:hint="eastAsia"/>
                <w:color w:val="auto"/>
                <w:highlight w:val="none"/>
              </w:rPr>
              <w:t>到港后采用汽车托运，</w:t>
            </w:r>
            <w:r>
              <w:rPr>
                <w:rFonts w:hint="eastAsia"/>
                <w:color w:val="auto"/>
                <w:highlight w:val="none"/>
                <w:lang w:val="en-US" w:eastAsia="zh-CN"/>
              </w:rPr>
              <w:t>吨袋和集装箱</w:t>
            </w:r>
            <w:r>
              <w:rPr>
                <w:rFonts w:hint="eastAsia"/>
                <w:color w:val="auto"/>
                <w:highlight w:val="none"/>
              </w:rPr>
              <w:t>卸货和转运过程中粉尘产生量较少。</w:t>
            </w:r>
          </w:p>
          <w:p>
            <w:pPr>
              <w:pStyle w:val="32"/>
              <w:adjustRightInd w:val="0"/>
              <w:snapToGrid w:val="0"/>
              <w:ind w:firstLine="480"/>
              <w:rPr>
                <w:color w:val="auto"/>
                <w:highlight w:val="none"/>
              </w:rPr>
            </w:pPr>
            <w:r>
              <w:rPr>
                <w:rFonts w:hint="eastAsia"/>
                <w:color w:val="auto"/>
                <w:highlight w:val="none"/>
              </w:rPr>
              <w:t>2.原料转运</w:t>
            </w:r>
          </w:p>
          <w:p>
            <w:pPr>
              <w:pStyle w:val="32"/>
              <w:adjustRightInd w:val="0"/>
              <w:snapToGrid w:val="0"/>
              <w:ind w:firstLine="480"/>
              <w:rPr>
                <w:color w:val="auto"/>
                <w:highlight w:val="none"/>
              </w:rPr>
            </w:pPr>
            <w:r>
              <w:rPr>
                <w:rFonts w:hint="eastAsia"/>
                <w:color w:val="auto"/>
                <w:highlight w:val="none"/>
              </w:rPr>
              <w:t>（1）</w:t>
            </w:r>
            <w:r>
              <w:rPr>
                <w:rFonts w:hint="eastAsia"/>
                <w:bCs/>
                <w:color w:val="auto"/>
                <w:szCs w:val="21"/>
                <w:highlight w:val="none"/>
              </w:rPr>
              <w:t>散货</w:t>
            </w:r>
            <w:r>
              <w:rPr>
                <w:rFonts w:hint="eastAsia"/>
                <w:bCs/>
                <w:color w:val="auto"/>
                <w:szCs w:val="21"/>
                <w:highlight w:val="none"/>
                <w:lang w:eastAsia="zh-CN"/>
              </w:rPr>
              <w:t>（</w:t>
            </w:r>
            <w:r>
              <w:rPr>
                <w:rFonts w:hint="eastAsia"/>
                <w:bCs/>
                <w:color w:val="auto"/>
                <w:szCs w:val="21"/>
                <w:highlight w:val="none"/>
                <w:lang w:val="en-US" w:eastAsia="zh-CN"/>
              </w:rPr>
              <w:t>80万吨/年</w:t>
            </w:r>
            <w:r>
              <w:rPr>
                <w:rFonts w:hint="eastAsia"/>
                <w:bCs/>
                <w:color w:val="auto"/>
                <w:szCs w:val="21"/>
                <w:highlight w:val="none"/>
                <w:lang w:eastAsia="zh-CN"/>
              </w:rPr>
              <w:t>）</w:t>
            </w:r>
            <w:r>
              <w:rPr>
                <w:rFonts w:hint="eastAsia"/>
                <w:bCs/>
                <w:color w:val="auto"/>
                <w:szCs w:val="21"/>
                <w:highlight w:val="none"/>
              </w:rPr>
              <w:t>转运</w:t>
            </w:r>
          </w:p>
          <w:p>
            <w:pPr>
              <w:pStyle w:val="32"/>
              <w:adjustRightInd w:val="0"/>
              <w:snapToGrid w:val="0"/>
              <w:ind w:firstLine="480"/>
              <w:rPr>
                <w:color w:val="auto"/>
                <w:highlight w:val="none"/>
              </w:rPr>
            </w:pPr>
            <w:r>
              <w:rPr>
                <w:rFonts w:hint="eastAsia"/>
                <w:color w:val="auto"/>
                <w:highlight w:val="none"/>
                <w:lang w:val="en-US" w:eastAsia="zh-CN"/>
              </w:rPr>
              <w:t>若来料为散货原矿，</w:t>
            </w:r>
            <w:r>
              <w:rPr>
                <w:rFonts w:hint="eastAsia"/>
                <w:color w:val="auto"/>
                <w:highlight w:val="none"/>
              </w:rPr>
              <w:t>A矿、B矿散货</w:t>
            </w:r>
            <w:r>
              <w:rPr>
                <w:rFonts w:hint="eastAsia"/>
                <w:color w:val="auto"/>
                <w:highlight w:val="none"/>
                <w:lang w:val="en-US" w:eastAsia="zh-CN"/>
              </w:rPr>
              <w:t>由室外进料胶带机送至卸矿站内的</w:t>
            </w:r>
            <w:r>
              <w:rPr>
                <w:rFonts w:hint="default"/>
                <w:color w:val="auto"/>
                <w:highlight w:val="none"/>
                <w:lang w:val="en-US" w:eastAsia="zh-CN"/>
              </w:rPr>
              <w:t>1#胶带输送机S-</w:t>
            </w:r>
            <w:r>
              <w:rPr>
                <w:rFonts w:hint="eastAsia"/>
                <w:color w:val="auto"/>
                <w:highlight w:val="none"/>
                <w:lang w:val="en-US" w:eastAsia="zh-CN"/>
              </w:rPr>
              <w:t>4上，该输送机连通的1#桥式横向布料机</w:t>
            </w:r>
            <w:r>
              <w:rPr>
                <w:rFonts w:hint="default"/>
                <w:color w:val="auto"/>
                <w:highlight w:val="none"/>
                <w:lang w:val="en-US" w:eastAsia="zh-CN"/>
              </w:rPr>
              <w:t>S-</w:t>
            </w:r>
            <w:r>
              <w:rPr>
                <w:rFonts w:hint="eastAsia"/>
                <w:color w:val="auto"/>
                <w:highlight w:val="none"/>
                <w:lang w:val="en-US" w:eastAsia="zh-CN"/>
              </w:rPr>
              <w:t>1可将原矿均匀布料在仓库西北侧的地面堆存区域内。原矿堆存的同时由装载车装载至卸矿站内的运输货车上，货车装满原矿后行驶至站内地磅S-2上称重，称重结束后立刻行驶至仓库东北侧的地面中间料仓S-13前卸料，卸料完成后空车过磅称重后再次行驶至原矿堆存区域装料，如此循环往复。货车内的原矿一部分直接卸料至中间料仓内，一部分则落在地面上，地面上的原矿一部分由人工取样，其余部分由装载车推入中间料仓内。落入料仓内的原矿经料仓下面的6</w:t>
            </w:r>
            <w:r>
              <w:rPr>
                <w:rFonts w:hint="default"/>
                <w:color w:val="auto"/>
                <w:highlight w:val="none"/>
                <w:lang w:val="en-US" w:eastAsia="zh-CN"/>
              </w:rPr>
              <w:t>#胶带输送机</w:t>
            </w:r>
            <w:r>
              <w:rPr>
                <w:rFonts w:hint="eastAsia"/>
                <w:color w:val="auto"/>
                <w:highlight w:val="none"/>
                <w:lang w:val="en-US" w:eastAsia="zh-CN"/>
              </w:rPr>
              <w:t>S-12转运至4#胶带输送机S-10上，最终被送往混矿库内</w:t>
            </w:r>
            <w:r>
              <w:rPr>
                <w:rFonts w:hint="eastAsia"/>
                <w:color w:val="auto"/>
                <w:highlight w:val="none"/>
              </w:rPr>
              <w:t>。</w:t>
            </w:r>
          </w:p>
          <w:p>
            <w:pPr>
              <w:pStyle w:val="32"/>
              <w:adjustRightInd w:val="0"/>
              <w:snapToGrid w:val="0"/>
              <w:ind w:firstLine="480"/>
              <w:rPr>
                <w:color w:val="auto"/>
                <w:highlight w:val="none"/>
              </w:rPr>
            </w:pPr>
            <w:r>
              <w:rPr>
                <w:rFonts w:hint="eastAsia"/>
                <w:color w:val="auto"/>
                <w:highlight w:val="none"/>
                <w:lang w:val="en-US" w:eastAsia="zh-CN"/>
              </w:rPr>
              <w:t>若进料胶带输送机故障，则原料通过汽车（运输车辆需具备货厢篷布密封功能）运输至卸矿站卸货，卸货完毕后经洗轮后返回港口循环转运。</w:t>
            </w:r>
          </w:p>
          <w:p>
            <w:pPr>
              <w:pStyle w:val="32"/>
              <w:adjustRightInd w:val="0"/>
              <w:snapToGrid w:val="0"/>
              <w:ind w:firstLine="480"/>
              <w:rPr>
                <w:color w:val="auto"/>
                <w:highlight w:val="none"/>
              </w:rPr>
            </w:pPr>
            <w:r>
              <w:rPr>
                <w:color w:val="auto"/>
                <w:highlight w:val="none"/>
              </w:rPr>
              <w:t>各批次原料矿按批次分区域存放并做好标识、建立各批次原料矿进出仓库登记管理。</w:t>
            </w:r>
          </w:p>
          <w:p>
            <w:pPr>
              <w:pStyle w:val="32"/>
              <w:adjustRightInd w:val="0"/>
              <w:snapToGrid w:val="0"/>
              <w:ind w:firstLine="480"/>
              <w:rPr>
                <w:color w:val="auto"/>
                <w:highlight w:val="none"/>
              </w:rPr>
            </w:pPr>
            <w:r>
              <w:rPr>
                <w:rFonts w:hint="eastAsia"/>
                <w:color w:val="auto"/>
                <w:highlight w:val="none"/>
              </w:rPr>
              <w:t>（2）</w:t>
            </w:r>
            <w:r>
              <w:rPr>
                <w:rFonts w:hint="eastAsia"/>
                <w:color w:val="auto"/>
                <w:highlight w:val="none"/>
                <w:lang w:val="en-US" w:eastAsia="zh-CN"/>
              </w:rPr>
              <w:t>吨袋和集装箱</w:t>
            </w:r>
            <w:r>
              <w:rPr>
                <w:rFonts w:hint="eastAsia"/>
                <w:color w:val="auto"/>
                <w:highlight w:val="none"/>
              </w:rPr>
              <w:t>转运</w:t>
            </w:r>
          </w:p>
          <w:p>
            <w:pPr>
              <w:pStyle w:val="32"/>
              <w:adjustRightInd w:val="0"/>
              <w:snapToGrid w:val="0"/>
              <w:ind w:firstLine="480"/>
              <w:rPr>
                <w:rFonts w:hint="default" w:eastAsia="宋体"/>
                <w:color w:val="auto"/>
                <w:highlight w:val="none"/>
                <w:lang w:val="en-US" w:eastAsia="zh-CN"/>
              </w:rPr>
            </w:pPr>
            <w:r>
              <w:rPr>
                <w:rFonts w:hint="default"/>
                <w:color w:val="auto"/>
                <w:highlight w:val="none"/>
              </w:rPr>
              <w:t>①</w:t>
            </w:r>
            <w:r>
              <w:rPr>
                <w:rFonts w:hint="eastAsia"/>
                <w:color w:val="auto"/>
                <w:highlight w:val="none"/>
                <w:lang w:val="en-US" w:eastAsia="zh-CN"/>
              </w:rPr>
              <w:t>吨袋（10万吨/年）转运</w:t>
            </w:r>
          </w:p>
          <w:p>
            <w:pPr>
              <w:pStyle w:val="32"/>
              <w:adjustRightInd w:val="0"/>
              <w:snapToGrid w:val="0"/>
              <w:ind w:firstLine="480"/>
              <w:rPr>
                <w:rFonts w:hint="eastAsia"/>
                <w:color w:val="auto"/>
                <w:highlight w:val="none"/>
              </w:rPr>
            </w:pPr>
            <w:r>
              <w:rPr>
                <w:rFonts w:hint="eastAsia"/>
                <w:color w:val="auto"/>
                <w:highlight w:val="none"/>
                <w:lang w:val="en-US" w:eastAsia="zh-CN"/>
              </w:rPr>
              <w:t>若来料为吨袋原矿，由货车运输至卸矿站后，堆放至吨袋货物存放区域，经卸矿站仓库顶部的葫芦双梁起重机S-8转运至全自动拆包机S-9进行拆包，拆包后的物料落入5#胶带输送机S-11上并转运至4#胶带输送机S-10上，最终被送往混矿库内</w:t>
            </w:r>
            <w:r>
              <w:rPr>
                <w:rFonts w:hint="eastAsia"/>
                <w:color w:val="auto"/>
                <w:highlight w:val="none"/>
              </w:rPr>
              <w:t>。</w:t>
            </w:r>
          </w:p>
          <w:p>
            <w:pPr>
              <w:pStyle w:val="32"/>
              <w:adjustRightInd w:val="0"/>
              <w:snapToGrid w:val="0"/>
              <w:ind w:firstLine="480"/>
              <w:rPr>
                <w:rFonts w:hint="eastAsia"/>
                <w:color w:val="auto"/>
                <w:highlight w:val="none"/>
                <w:lang w:val="en-US" w:eastAsia="zh-CN"/>
              </w:rPr>
            </w:pPr>
            <w:r>
              <w:rPr>
                <w:rFonts w:hint="default"/>
                <w:color w:val="auto"/>
                <w:highlight w:val="none"/>
              </w:rPr>
              <w:t>②</w:t>
            </w:r>
            <w:r>
              <w:rPr>
                <w:rFonts w:hint="eastAsia"/>
                <w:color w:val="auto"/>
                <w:highlight w:val="none"/>
                <w:lang w:val="en-US" w:eastAsia="zh-CN"/>
              </w:rPr>
              <w:t>集装箱（10万吨/年）转运</w:t>
            </w:r>
          </w:p>
          <w:p>
            <w:pPr>
              <w:pStyle w:val="32"/>
              <w:adjustRightInd w:val="0"/>
              <w:snapToGrid w:val="0"/>
              <w:ind w:firstLine="480"/>
              <w:rPr>
                <w:rFonts w:hint="eastAsia"/>
                <w:color w:val="auto"/>
                <w:highlight w:val="none"/>
                <w:lang w:val="en-US" w:eastAsia="zh-CN"/>
              </w:rPr>
            </w:pPr>
            <w:r>
              <w:rPr>
                <w:rFonts w:hint="eastAsia"/>
                <w:color w:val="auto"/>
                <w:highlight w:val="none"/>
                <w:lang w:val="en-US" w:eastAsia="zh-CN"/>
              </w:rPr>
              <w:t>若来料为集装箱装原矿，集装箱车辆进入卸矿站后直接行驶至站内地磅S-2上称重，称重结束后立刻行驶至仓库东北侧的地面中间料仓S-13前卸料，此类原矿依次经中间料仓S-13、6#胶带输送机S-12、4#胶带输送机S-10最终被送往混矿库内。集装箱车辆卸料完成后需空车过磅称重洗轮后再驶离。</w:t>
            </w:r>
          </w:p>
          <w:p>
            <w:pPr>
              <w:pStyle w:val="32"/>
              <w:adjustRightInd w:val="0"/>
              <w:snapToGrid w:val="0"/>
              <w:ind w:firstLine="480"/>
              <w:rPr>
                <w:color w:val="auto"/>
                <w:highlight w:val="none"/>
              </w:rPr>
            </w:pPr>
            <w:r>
              <w:rPr>
                <w:rFonts w:hint="eastAsia"/>
                <w:color w:val="auto"/>
                <w:highlight w:val="none"/>
              </w:rPr>
              <w:t>3.</w:t>
            </w:r>
            <w:r>
              <w:rPr>
                <w:rFonts w:hint="eastAsia"/>
                <w:color w:val="auto"/>
                <w:highlight w:val="none"/>
                <w:lang w:val="en-US" w:eastAsia="zh-CN"/>
              </w:rPr>
              <w:t>成品矿</w:t>
            </w:r>
            <w:r>
              <w:rPr>
                <w:color w:val="auto"/>
                <w:highlight w:val="none"/>
              </w:rPr>
              <w:t>的转运</w:t>
            </w:r>
          </w:p>
          <w:p>
            <w:pPr>
              <w:pStyle w:val="32"/>
              <w:adjustRightInd w:val="0"/>
              <w:snapToGrid w:val="0"/>
              <w:ind w:firstLine="480"/>
              <w:rPr>
                <w:color w:val="auto"/>
                <w:highlight w:val="none"/>
              </w:rPr>
            </w:pPr>
            <w:r>
              <w:rPr>
                <w:rFonts w:hint="eastAsia"/>
                <w:color w:val="auto"/>
                <w:highlight w:val="none"/>
                <w:lang w:val="en-US" w:eastAsia="zh-CN"/>
              </w:rPr>
              <w:t>成品矿经皮带运输由混矿库送入卸矿站内的3#胶带输送机S-20上。该输送机连通的2#桥式横向布料机</w:t>
            </w:r>
            <w:r>
              <w:rPr>
                <w:rFonts w:hint="default"/>
                <w:color w:val="auto"/>
                <w:highlight w:val="none"/>
                <w:lang w:val="en-US" w:eastAsia="zh-CN"/>
              </w:rPr>
              <w:t>S-</w:t>
            </w:r>
            <w:r>
              <w:rPr>
                <w:rFonts w:hint="eastAsia"/>
                <w:color w:val="auto"/>
                <w:highlight w:val="none"/>
                <w:lang w:val="en-US" w:eastAsia="zh-CN"/>
              </w:rPr>
              <w:t>30可将成品矿均匀布料在仓库西南侧的地面堆存区域内。成品矿堆存的同时由装载车装载至卸矿站内的运输货车上，货车装满成品矿后行驶至站内地磅S-2上称重，称重结束后立刻行驶至仓库东侧中部的地面中间料仓S-13前卸料，卸料完成后空车过磅称重后再次行驶至成品矿堆存区域装料，如此循环往复。货车内的成品矿一部分直接卸料至中间料仓内，一部分则落在地面上，地面上的成品矿一部分由人工取样，其余部分被装载车推入中间料仓内。落入料仓内的成品矿经料仓下面的6</w:t>
            </w:r>
            <w:r>
              <w:rPr>
                <w:rFonts w:hint="default"/>
                <w:color w:val="auto"/>
                <w:highlight w:val="none"/>
                <w:lang w:val="en-US" w:eastAsia="zh-CN"/>
              </w:rPr>
              <w:t>#胶带输送机</w:t>
            </w:r>
            <w:r>
              <w:rPr>
                <w:rFonts w:hint="eastAsia"/>
                <w:color w:val="auto"/>
                <w:highlight w:val="none"/>
                <w:lang w:val="en-US" w:eastAsia="zh-CN"/>
              </w:rPr>
              <w:t>S-23转运至2#胶带输送机S-19上，再由该输送机落料至室外出料管状胶带机中，最终被运送至铜冶炼基地。若室外出料胶带输送机故障，则原料通过汽车（运输车辆需具备货厢篷布密封功能）运输至用矿需求冶炼厂。</w:t>
            </w:r>
          </w:p>
          <w:p>
            <w:pPr>
              <w:pStyle w:val="32"/>
              <w:adjustRightInd w:val="0"/>
              <w:snapToGrid w:val="0"/>
              <w:ind w:firstLine="480"/>
              <w:rPr>
                <w:color w:val="auto"/>
                <w:highlight w:val="none"/>
              </w:rPr>
            </w:pPr>
            <w:r>
              <w:rPr>
                <w:color w:val="auto"/>
                <w:highlight w:val="none"/>
              </w:rPr>
              <w:t>混矿后的铜精矿产品按批次分区域存放并做好标识、建立各批次混矿出入库登记。铜精矿产品出监管区前需向海关提出出库报关申请，由海关对</w:t>
            </w:r>
            <w:r>
              <w:rPr>
                <w:rFonts w:hint="eastAsia"/>
                <w:color w:val="auto"/>
                <w:highlight w:val="none"/>
              </w:rPr>
              <w:t>铜精</w:t>
            </w:r>
            <w:r>
              <w:rPr>
                <w:color w:val="auto"/>
                <w:highlight w:val="none"/>
              </w:rPr>
              <w:t>矿按批次进行取样检测</w:t>
            </w:r>
            <w:r>
              <w:rPr>
                <w:rFonts w:hint="eastAsia"/>
                <w:color w:val="auto"/>
                <w:highlight w:val="none"/>
                <w:lang w:eastAsia="zh-CN"/>
              </w:rPr>
              <w:t>（</w:t>
            </w:r>
            <w:r>
              <w:rPr>
                <w:rFonts w:hint="eastAsia"/>
                <w:color w:val="auto"/>
                <w:highlight w:val="none"/>
                <w:lang w:val="en-US" w:eastAsia="zh-CN"/>
              </w:rPr>
              <w:t>检测项目详见表2.1.3</w:t>
            </w:r>
            <w:r>
              <w:rPr>
                <w:rFonts w:hint="eastAsia"/>
                <w:color w:val="auto"/>
                <w:highlight w:val="none"/>
                <w:lang w:eastAsia="zh-CN"/>
              </w:rPr>
              <w:t>）</w:t>
            </w:r>
            <w:r>
              <w:rPr>
                <w:color w:val="auto"/>
                <w:highlight w:val="none"/>
              </w:rPr>
              <w:t>，化验合格，该批次铜精矿产品得到出库批示后</w:t>
            </w:r>
            <w:r>
              <w:rPr>
                <w:rFonts w:hint="eastAsia"/>
                <w:color w:val="auto"/>
                <w:highlight w:val="none"/>
              </w:rPr>
              <w:t>经皮带输送至宁德40万吨铜冶炼基地项目作为原料使用</w:t>
            </w:r>
            <w:r>
              <w:rPr>
                <w:color w:val="auto"/>
                <w:highlight w:val="none"/>
              </w:rPr>
              <w:t>。</w:t>
            </w:r>
          </w:p>
          <w:p>
            <w:pPr>
              <w:pStyle w:val="32"/>
              <w:spacing w:before="75" w:line="375" w:lineRule="auto"/>
              <w:ind w:right="103" w:firstLine="0" w:firstLineChars="0"/>
              <w:rPr>
                <w:color w:val="auto"/>
                <w:highlight w:val="none"/>
              </w:rPr>
            </w:pPr>
            <w:r>
              <w:rPr>
                <w:rFonts w:hint="eastAsia"/>
                <w:b/>
                <w:bCs/>
                <w:color w:val="auto"/>
                <w:highlight w:val="none"/>
              </w:rPr>
              <w:t>2.1.2.8 水平衡分析</w:t>
            </w:r>
          </w:p>
          <w:p>
            <w:pPr>
              <w:pStyle w:val="32"/>
              <w:adjustRightInd w:val="0"/>
              <w:snapToGrid w:val="0"/>
              <w:ind w:firstLine="480"/>
              <w:rPr>
                <w:color w:val="auto"/>
                <w:highlight w:val="none"/>
              </w:rPr>
            </w:pPr>
            <w:r>
              <w:rPr>
                <w:rFonts w:hint="eastAsia"/>
                <w:color w:val="auto"/>
                <w:highlight w:val="none"/>
              </w:rPr>
              <w:t>本项目主要用水为生活用水、洗车用水、洗手池用水、地面冲洗用水、喷雾抑尘用水。</w:t>
            </w:r>
          </w:p>
          <w:p>
            <w:pPr>
              <w:pStyle w:val="32"/>
              <w:adjustRightInd w:val="0"/>
              <w:snapToGrid w:val="0"/>
              <w:ind w:firstLine="480"/>
              <w:rPr>
                <w:color w:val="auto"/>
                <w:highlight w:val="none"/>
              </w:rPr>
            </w:pPr>
            <w:r>
              <w:rPr>
                <w:rFonts w:hint="eastAsia"/>
                <w:color w:val="auto"/>
                <w:highlight w:val="none"/>
              </w:rPr>
              <w:t>1.用水</w:t>
            </w:r>
          </w:p>
          <w:p>
            <w:pPr>
              <w:pStyle w:val="32"/>
              <w:adjustRightInd w:val="0"/>
              <w:snapToGrid w:val="0"/>
              <w:ind w:firstLine="480"/>
              <w:rPr>
                <w:color w:val="auto"/>
                <w:highlight w:val="none"/>
              </w:rPr>
            </w:pPr>
            <w:r>
              <w:rPr>
                <w:rFonts w:hint="eastAsia"/>
                <w:color w:val="auto"/>
                <w:highlight w:val="none"/>
              </w:rPr>
              <w:t>（1）生活用水</w:t>
            </w:r>
          </w:p>
          <w:p>
            <w:pPr>
              <w:pStyle w:val="32"/>
              <w:adjustRightInd w:val="0"/>
              <w:snapToGrid w:val="0"/>
              <w:ind w:firstLine="480"/>
              <w:rPr>
                <w:color w:val="auto"/>
                <w:highlight w:val="none"/>
              </w:rPr>
            </w:pPr>
            <w:r>
              <w:rPr>
                <w:rFonts w:hint="eastAsia"/>
                <w:color w:val="auto"/>
                <w:highlight w:val="none"/>
              </w:rPr>
              <w:t>本项目员工定员</w:t>
            </w:r>
            <w:r>
              <w:rPr>
                <w:rFonts w:hint="eastAsia"/>
                <w:color w:val="auto"/>
                <w:highlight w:val="none"/>
                <w:lang w:val="en-US" w:eastAsia="zh-CN"/>
              </w:rPr>
              <w:t>2</w:t>
            </w:r>
            <w:r>
              <w:rPr>
                <w:rFonts w:hint="eastAsia"/>
                <w:color w:val="auto"/>
                <w:highlight w:val="none"/>
              </w:rPr>
              <w:t>8人，</w:t>
            </w:r>
            <w:r>
              <w:rPr>
                <w:rFonts w:hint="eastAsia"/>
                <w:color w:val="auto"/>
                <w:highlight w:val="none"/>
                <w:lang w:val="en-US" w:eastAsia="zh-CN"/>
              </w:rPr>
              <w:t>其中管理和技术人员8人，生产班组人员20人，班组分为4个班组，一般每天24小时上班人数为：8名管理和技术人员+10名班组人员，故用水量按18人/天进行计算。</w:t>
            </w:r>
            <w:r>
              <w:rPr>
                <w:rFonts w:hint="eastAsia"/>
                <w:color w:val="auto"/>
                <w:highlight w:val="none"/>
              </w:rPr>
              <w:t>工人下班后先淋浴</w:t>
            </w:r>
            <w:r>
              <w:rPr>
                <w:rFonts w:hint="eastAsia"/>
                <w:color w:val="auto"/>
                <w:highlight w:val="none"/>
                <w:lang w:eastAsia="zh-CN"/>
              </w:rPr>
              <w:t>，</w:t>
            </w:r>
            <w:r>
              <w:rPr>
                <w:rFonts w:hint="eastAsia"/>
                <w:color w:val="auto"/>
                <w:highlight w:val="none"/>
              </w:rPr>
              <w:t>员工用水定额</w:t>
            </w:r>
            <w:r>
              <w:rPr>
                <w:color w:val="auto"/>
                <w:highlight w:val="none"/>
              </w:rPr>
              <w:t>根据《福建省地方标准行业用水定额》（DB35/T772-2018），职工生活用水定额取</w:t>
            </w:r>
            <w:r>
              <w:rPr>
                <w:rFonts w:hint="eastAsia"/>
                <w:color w:val="auto"/>
                <w:highlight w:val="none"/>
              </w:rPr>
              <w:t>1</w:t>
            </w:r>
            <w:r>
              <w:rPr>
                <w:color w:val="auto"/>
                <w:highlight w:val="none"/>
              </w:rPr>
              <w:t>50L/（人·d）</w:t>
            </w:r>
            <w:r>
              <w:rPr>
                <w:rFonts w:hint="eastAsia"/>
                <w:color w:val="auto"/>
                <w:highlight w:val="none"/>
              </w:rPr>
              <w:t>，则项目生活用水量为</w:t>
            </w:r>
            <w:r>
              <w:rPr>
                <w:rFonts w:hint="eastAsia"/>
                <w:color w:val="auto"/>
                <w:highlight w:val="none"/>
                <w:lang w:val="en-US" w:eastAsia="zh-CN"/>
              </w:rPr>
              <w:t>2.7</w:t>
            </w:r>
            <w:r>
              <w:rPr>
                <w:rFonts w:hint="eastAsia"/>
                <w:color w:val="auto"/>
                <w:highlight w:val="none"/>
              </w:rPr>
              <w:t>m</w:t>
            </w:r>
            <w:r>
              <w:rPr>
                <w:rFonts w:hint="eastAsia"/>
                <w:color w:val="auto"/>
                <w:highlight w:val="none"/>
                <w:vertAlign w:val="superscript"/>
              </w:rPr>
              <w:t>3</w:t>
            </w:r>
            <w:r>
              <w:rPr>
                <w:rFonts w:hint="eastAsia"/>
                <w:color w:val="auto"/>
                <w:highlight w:val="none"/>
              </w:rPr>
              <w:t>/d，项目年生产330天，则生活用水量为</w:t>
            </w:r>
            <w:r>
              <w:rPr>
                <w:rFonts w:hint="eastAsia"/>
                <w:color w:val="auto"/>
                <w:highlight w:val="none"/>
                <w:lang w:val="en-US" w:eastAsia="zh-CN"/>
              </w:rPr>
              <w:t>891</w:t>
            </w:r>
            <w:r>
              <w:rPr>
                <w:rFonts w:hint="eastAsia"/>
                <w:color w:val="auto"/>
                <w:highlight w:val="none"/>
              </w:rPr>
              <w:t>m</w:t>
            </w:r>
            <w:r>
              <w:rPr>
                <w:rFonts w:hint="eastAsia"/>
                <w:color w:val="auto"/>
                <w:highlight w:val="none"/>
                <w:vertAlign w:val="superscript"/>
              </w:rPr>
              <w:t>3</w:t>
            </w:r>
            <w:r>
              <w:rPr>
                <w:rFonts w:hint="eastAsia"/>
                <w:color w:val="auto"/>
                <w:highlight w:val="none"/>
              </w:rPr>
              <w:t>/a，生活污水产生量按生活用水量的80%计，则生活污水产生量为</w:t>
            </w:r>
            <w:r>
              <w:rPr>
                <w:rFonts w:hint="eastAsia"/>
                <w:color w:val="auto"/>
                <w:highlight w:val="none"/>
                <w:lang w:val="en-US" w:eastAsia="zh-CN"/>
              </w:rPr>
              <w:t>2.16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712.8</w:t>
            </w:r>
            <w:r>
              <w:rPr>
                <w:rFonts w:hint="eastAsia"/>
                <w:color w:val="auto"/>
                <w:highlight w:val="none"/>
              </w:rPr>
              <w:t>m</w:t>
            </w:r>
            <w:r>
              <w:rPr>
                <w:rFonts w:hint="eastAsia"/>
                <w:color w:val="auto"/>
                <w:highlight w:val="none"/>
                <w:vertAlign w:val="superscript"/>
              </w:rPr>
              <w:t>3</w:t>
            </w:r>
            <w:r>
              <w:rPr>
                <w:rFonts w:hint="eastAsia"/>
                <w:color w:val="auto"/>
                <w:highlight w:val="none"/>
              </w:rPr>
              <w:t>/a）。</w:t>
            </w:r>
          </w:p>
          <w:p>
            <w:pPr>
              <w:pStyle w:val="32"/>
              <w:adjustRightInd w:val="0"/>
              <w:snapToGrid w:val="0"/>
              <w:ind w:firstLine="480"/>
              <w:rPr>
                <w:color w:val="auto"/>
                <w:highlight w:val="none"/>
              </w:rPr>
            </w:pPr>
            <w:r>
              <w:rPr>
                <w:rFonts w:hint="eastAsia"/>
                <w:color w:val="auto"/>
                <w:highlight w:val="none"/>
              </w:rPr>
              <w:t>（2）洗车用水</w:t>
            </w:r>
          </w:p>
          <w:p>
            <w:pPr>
              <w:pStyle w:val="32"/>
              <w:adjustRightInd w:val="0"/>
              <w:snapToGrid w:val="0"/>
              <w:ind w:firstLine="480"/>
              <w:rPr>
                <w:color w:val="auto"/>
                <w:highlight w:val="none"/>
              </w:rPr>
            </w:pPr>
            <w:r>
              <w:rPr>
                <w:rFonts w:hint="eastAsia"/>
                <w:color w:val="auto"/>
                <w:highlight w:val="none"/>
              </w:rPr>
              <w:t>项目设置有洗车平台，根据设计方案，洗轮机冲洗车轮的用水量为100L/辆.次，</w:t>
            </w:r>
            <w:r>
              <w:rPr>
                <w:rFonts w:hint="eastAsia"/>
                <w:color w:val="auto"/>
                <w:highlight w:val="none"/>
                <w:lang w:val="en-US" w:eastAsia="zh-CN"/>
              </w:rPr>
              <w:t>卸矿站</w:t>
            </w:r>
            <w:r>
              <w:rPr>
                <w:rFonts w:hint="eastAsia"/>
                <w:color w:val="auto"/>
                <w:highlight w:val="none"/>
              </w:rPr>
              <w:t>最大洗车数量为</w:t>
            </w:r>
            <w:r>
              <w:rPr>
                <w:color w:val="auto"/>
                <w:highlight w:val="none"/>
              </w:rPr>
              <w:t>312</w:t>
            </w:r>
            <w:r>
              <w:rPr>
                <w:rFonts w:hint="eastAsia"/>
                <w:color w:val="auto"/>
                <w:highlight w:val="none"/>
              </w:rPr>
              <w:t>辆次，洗车用水量为</w:t>
            </w:r>
            <w:r>
              <w:rPr>
                <w:color w:val="auto"/>
                <w:highlight w:val="none"/>
              </w:rPr>
              <w:t>31.2</w:t>
            </w:r>
            <w:r>
              <w:rPr>
                <w:rFonts w:hint="eastAsia"/>
                <w:color w:val="auto"/>
                <w:highlight w:val="none"/>
              </w:rPr>
              <w:t>m</w:t>
            </w:r>
            <w:r>
              <w:rPr>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lang w:val="en-US" w:eastAsia="zh-CN"/>
              </w:rPr>
              <w:t>10296</w:t>
            </w:r>
            <w:r>
              <w:rPr>
                <w:rFonts w:hint="eastAsia"/>
                <w:color w:val="auto"/>
                <w:highlight w:val="none"/>
              </w:rPr>
              <w:t>m</w:t>
            </w:r>
            <w:r>
              <w:rPr>
                <w:color w:val="auto"/>
                <w:highlight w:val="none"/>
                <w:vertAlign w:val="superscript"/>
              </w:rPr>
              <w:t>3</w:t>
            </w:r>
            <w:r>
              <w:rPr>
                <w:rFonts w:hint="eastAsia"/>
                <w:color w:val="auto"/>
                <w:highlight w:val="none"/>
              </w:rPr>
              <w:t>/</w:t>
            </w:r>
            <w:r>
              <w:rPr>
                <w:rFonts w:hint="eastAsia"/>
                <w:color w:val="auto"/>
                <w:highlight w:val="none"/>
                <w:lang w:val="en-US" w:eastAsia="zh-CN"/>
              </w:rPr>
              <w:t>a</w:t>
            </w:r>
            <w:r>
              <w:rPr>
                <w:rFonts w:hint="eastAsia"/>
                <w:color w:val="auto"/>
                <w:highlight w:val="none"/>
                <w:lang w:eastAsia="zh-CN"/>
              </w:rPr>
              <w:t>）</w:t>
            </w:r>
            <w:r>
              <w:rPr>
                <w:rFonts w:hint="eastAsia"/>
                <w:color w:val="auto"/>
                <w:highlight w:val="none"/>
              </w:rPr>
              <w:t>。洗车废水经沉淀池处理后作为冲洗水循环使用，废水不外排。洗轮机冲洗车轮用水损耗量较大，一是蒸发损耗，二是水中含有大量的精矿粉，精矿粉回收带走一部分水量。损耗与精矿粉带走的水量按冲洗用水量的30%考虑，</w:t>
            </w:r>
            <w:r>
              <w:rPr>
                <w:rFonts w:hint="eastAsia"/>
                <w:color w:val="auto"/>
                <w:highlight w:val="none"/>
                <w:lang w:val="en-US" w:eastAsia="zh-CN"/>
              </w:rPr>
              <w:t>卸矿站</w:t>
            </w:r>
            <w:r>
              <w:rPr>
                <w:rFonts w:hint="eastAsia"/>
                <w:color w:val="auto"/>
                <w:highlight w:val="none"/>
              </w:rPr>
              <w:t>的洗轮机冲洗车辆补充水量为</w:t>
            </w:r>
            <w:r>
              <w:rPr>
                <w:color w:val="auto"/>
                <w:highlight w:val="none"/>
              </w:rPr>
              <w:t>9.36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lang w:val="en-US" w:eastAsia="zh-CN"/>
              </w:rPr>
              <w:t>3088.8</w:t>
            </w:r>
            <w:r>
              <w:rPr>
                <w:rFonts w:hint="eastAsia"/>
                <w:color w:val="auto"/>
                <w:highlight w:val="none"/>
              </w:rPr>
              <w:t>m</w:t>
            </w:r>
            <w:r>
              <w:rPr>
                <w:color w:val="auto"/>
                <w:highlight w:val="none"/>
                <w:vertAlign w:val="superscript"/>
              </w:rPr>
              <w:t>3</w:t>
            </w:r>
            <w:r>
              <w:rPr>
                <w:rFonts w:hint="eastAsia"/>
                <w:color w:val="auto"/>
                <w:highlight w:val="none"/>
              </w:rPr>
              <w:t>/</w:t>
            </w:r>
            <w:r>
              <w:rPr>
                <w:rFonts w:hint="eastAsia"/>
                <w:color w:val="auto"/>
                <w:highlight w:val="none"/>
                <w:lang w:val="en-US" w:eastAsia="zh-CN"/>
              </w:rPr>
              <w:t>a）</w:t>
            </w:r>
            <w:r>
              <w:rPr>
                <w:rFonts w:hint="eastAsia"/>
                <w:color w:val="auto"/>
                <w:highlight w:val="none"/>
              </w:rPr>
              <w:t>。补充水量加在清水池中。</w:t>
            </w:r>
          </w:p>
          <w:p>
            <w:pPr>
              <w:pStyle w:val="32"/>
              <w:adjustRightInd w:val="0"/>
              <w:snapToGrid w:val="0"/>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）洗手池用水</w:t>
            </w:r>
          </w:p>
          <w:p>
            <w:pPr>
              <w:pStyle w:val="32"/>
              <w:adjustRightInd w:val="0"/>
              <w:snapToGrid w:val="0"/>
              <w:ind w:firstLine="480"/>
              <w:rPr>
                <w:color w:val="auto"/>
                <w:highlight w:val="none"/>
              </w:rPr>
            </w:pPr>
            <w:r>
              <w:rPr>
                <w:rFonts w:hint="eastAsia"/>
                <w:color w:val="auto"/>
                <w:highlight w:val="none"/>
                <w:lang w:val="en-US" w:eastAsia="zh-CN"/>
              </w:rPr>
              <w:t>卸矿站</w:t>
            </w:r>
            <w:r>
              <w:rPr>
                <w:rFonts w:hint="eastAsia"/>
                <w:color w:val="auto"/>
                <w:highlight w:val="none"/>
              </w:rPr>
              <w:t>、</w:t>
            </w:r>
            <w:r>
              <w:rPr>
                <w:rFonts w:hint="eastAsia"/>
                <w:color w:val="auto"/>
                <w:highlight w:val="none"/>
                <w:lang w:val="en-US" w:eastAsia="zh-CN"/>
              </w:rPr>
              <w:t>混矿库</w:t>
            </w:r>
            <w:r>
              <w:rPr>
                <w:rFonts w:hint="eastAsia"/>
                <w:color w:val="auto"/>
                <w:highlight w:val="none"/>
              </w:rPr>
              <w:t>洗手池用水均为0.5m</w:t>
            </w:r>
            <w:r>
              <w:rPr>
                <w:rFonts w:hint="eastAsia"/>
                <w:color w:val="auto"/>
                <w:highlight w:val="none"/>
                <w:vertAlign w:val="superscript"/>
              </w:rPr>
              <w:t>3</w:t>
            </w:r>
            <w:r>
              <w:rPr>
                <w:rFonts w:hint="eastAsia"/>
                <w:color w:val="auto"/>
                <w:highlight w:val="none"/>
              </w:rPr>
              <w:t>/d，合计1m</w:t>
            </w:r>
            <w:r>
              <w:rPr>
                <w:rFonts w:hint="eastAsia"/>
                <w:color w:val="auto"/>
                <w:highlight w:val="none"/>
                <w:vertAlign w:val="superscript"/>
              </w:rPr>
              <w:t>3</w:t>
            </w:r>
            <w:r>
              <w:rPr>
                <w:rFonts w:hint="eastAsia"/>
                <w:color w:val="auto"/>
                <w:highlight w:val="none"/>
              </w:rPr>
              <w:t>/d（330m</w:t>
            </w:r>
            <w:r>
              <w:rPr>
                <w:rFonts w:hint="eastAsia"/>
                <w:color w:val="auto"/>
                <w:highlight w:val="none"/>
                <w:vertAlign w:val="superscript"/>
              </w:rPr>
              <w:t>3</w:t>
            </w:r>
            <w:r>
              <w:rPr>
                <w:rFonts w:hint="eastAsia"/>
                <w:color w:val="auto"/>
                <w:highlight w:val="none"/>
              </w:rPr>
              <w:t>/a）。</w:t>
            </w:r>
          </w:p>
          <w:p>
            <w:pPr>
              <w:pStyle w:val="32"/>
              <w:adjustRightInd w:val="0"/>
              <w:snapToGrid w:val="0"/>
              <w:ind w:firstLine="48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）地面冲洗用水</w:t>
            </w:r>
          </w:p>
          <w:p>
            <w:pPr>
              <w:pStyle w:val="32"/>
              <w:adjustRightInd w:val="0"/>
              <w:snapToGrid w:val="0"/>
              <w:ind w:firstLine="480"/>
              <w:rPr>
                <w:color w:val="auto"/>
                <w:highlight w:val="none"/>
              </w:rPr>
            </w:pPr>
            <w:r>
              <w:rPr>
                <w:rFonts w:hint="eastAsia"/>
                <w:color w:val="auto"/>
                <w:highlight w:val="none"/>
              </w:rPr>
              <w:t>一般</w:t>
            </w:r>
            <w:r>
              <w:rPr>
                <w:rFonts w:hint="eastAsia"/>
                <w:color w:val="auto"/>
                <w:highlight w:val="none"/>
                <w:lang w:val="en-US" w:eastAsia="zh-CN"/>
              </w:rPr>
              <w:t>固废</w:t>
            </w:r>
            <w:r>
              <w:rPr>
                <w:rFonts w:hint="eastAsia"/>
                <w:color w:val="auto"/>
                <w:highlight w:val="none"/>
              </w:rPr>
              <w:t>暂存间地面冲洗用水量0.</w:t>
            </w:r>
            <w:r>
              <w:rPr>
                <w:rFonts w:hint="eastAsia"/>
                <w:color w:val="auto"/>
                <w:highlight w:val="none"/>
                <w:lang w:val="en-US" w:eastAsia="zh-CN"/>
              </w:rPr>
              <w:t>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eastAsia="zh-CN"/>
              </w:rPr>
              <w:t>（</w:t>
            </w:r>
            <w:r>
              <w:rPr>
                <w:rFonts w:hint="eastAsia"/>
                <w:color w:val="auto"/>
                <w:highlight w:val="none"/>
                <w:lang w:val="en-US" w:eastAsia="zh-CN"/>
              </w:rPr>
              <w:t>66</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rFonts w:hint="eastAsia"/>
                <w:color w:val="auto"/>
                <w:highlight w:val="none"/>
                <w:lang w:eastAsia="zh-CN"/>
              </w:rPr>
              <w:t>）</w:t>
            </w:r>
            <w:r>
              <w:rPr>
                <w:rFonts w:hint="eastAsia"/>
                <w:color w:val="auto"/>
                <w:highlight w:val="none"/>
              </w:rPr>
              <w:t>。地面冲洗废水经沉淀池处理后循环使用，废水不外排。损耗量以10%计，</w:t>
            </w:r>
            <w:r>
              <w:rPr>
                <w:rFonts w:hint="eastAsia"/>
                <w:color w:val="auto"/>
                <w:highlight w:val="none"/>
                <w:lang w:val="en-US" w:eastAsia="zh-CN"/>
              </w:rPr>
              <w:t>损耗量0.02</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6.6</w:t>
            </w:r>
            <w:r>
              <w:rPr>
                <w:rFonts w:hint="eastAsia"/>
                <w:color w:val="auto"/>
                <w:highlight w:val="none"/>
              </w:rPr>
              <w:t>m</w:t>
            </w:r>
            <w:r>
              <w:rPr>
                <w:rFonts w:hint="eastAsia"/>
                <w:color w:val="auto"/>
                <w:highlight w:val="none"/>
                <w:vertAlign w:val="superscript"/>
              </w:rPr>
              <w:t>3</w:t>
            </w:r>
            <w:r>
              <w:rPr>
                <w:rFonts w:hint="eastAsia"/>
                <w:color w:val="auto"/>
                <w:highlight w:val="none"/>
              </w:rPr>
              <w:t>/a）。</w:t>
            </w:r>
          </w:p>
          <w:p>
            <w:pPr>
              <w:pStyle w:val="32"/>
              <w:adjustRightInd w:val="0"/>
              <w:snapToGrid w:val="0"/>
              <w:ind w:firstLine="48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）抑尘用水</w:t>
            </w:r>
          </w:p>
          <w:p>
            <w:pPr>
              <w:pStyle w:val="32"/>
              <w:adjustRightInd w:val="0"/>
              <w:snapToGrid w:val="0"/>
              <w:ind w:firstLine="480"/>
              <w:rPr>
                <w:color w:val="auto"/>
                <w:highlight w:val="none"/>
              </w:rPr>
            </w:pPr>
            <w:r>
              <w:rPr>
                <w:rFonts w:hint="eastAsia"/>
                <w:color w:val="auto"/>
                <w:highlight w:val="none"/>
              </w:rPr>
              <w:t>项目生产需定期</w:t>
            </w:r>
            <w:r>
              <w:rPr>
                <w:rFonts w:hint="eastAsia"/>
                <w:color w:val="auto"/>
                <w:highlight w:val="none"/>
                <w:lang w:val="en-US" w:eastAsia="zh-CN"/>
              </w:rPr>
              <w:t>细雾</w:t>
            </w:r>
            <w:r>
              <w:rPr>
                <w:rFonts w:hint="eastAsia"/>
                <w:color w:val="auto"/>
                <w:highlight w:val="none"/>
              </w:rPr>
              <w:t>抑尘，根据设计方案，</w:t>
            </w:r>
            <w:r>
              <w:rPr>
                <w:rFonts w:hint="eastAsia"/>
                <w:color w:val="auto"/>
                <w:highlight w:val="none"/>
                <w:lang w:val="en-US" w:eastAsia="zh-CN"/>
              </w:rPr>
              <w:t>卸矿站</w:t>
            </w:r>
            <w:r>
              <w:rPr>
                <w:rFonts w:hint="eastAsia"/>
                <w:color w:val="auto"/>
                <w:highlight w:val="none"/>
              </w:rPr>
              <w:t>、</w:t>
            </w:r>
            <w:r>
              <w:rPr>
                <w:rFonts w:hint="eastAsia"/>
                <w:color w:val="auto"/>
                <w:highlight w:val="none"/>
                <w:lang w:val="en-US" w:eastAsia="zh-CN"/>
              </w:rPr>
              <w:t>混矿库</w:t>
            </w:r>
            <w:r>
              <w:rPr>
                <w:rFonts w:hint="eastAsia"/>
                <w:color w:val="auto"/>
                <w:highlight w:val="none"/>
              </w:rPr>
              <w:t>喷雾降尘</w:t>
            </w:r>
            <w:r>
              <w:rPr>
                <w:rFonts w:hint="eastAsia"/>
                <w:color w:val="auto"/>
                <w:highlight w:val="none"/>
                <w:lang w:val="en-US" w:eastAsia="zh-CN"/>
              </w:rPr>
              <w:t>用水量</w:t>
            </w:r>
            <w:r>
              <w:rPr>
                <w:rFonts w:hint="eastAsia"/>
                <w:color w:val="auto"/>
                <w:highlight w:val="none"/>
              </w:rPr>
              <w:t>为2</w:t>
            </w:r>
            <w:r>
              <w:rPr>
                <w:rFonts w:hint="eastAsia"/>
                <w:color w:val="auto"/>
                <w:highlight w:val="none"/>
                <w:lang w:val="en-US" w:eastAsia="zh-CN"/>
              </w:rPr>
              <w:t>.52</w:t>
            </w:r>
            <w:r>
              <w:rPr>
                <w:rFonts w:hint="eastAsia"/>
                <w:color w:val="auto"/>
                <w:highlight w:val="none"/>
              </w:rPr>
              <w:t>m</w:t>
            </w:r>
            <w:r>
              <w:rPr>
                <w:rFonts w:hint="eastAsia"/>
                <w:color w:val="auto"/>
                <w:highlight w:val="none"/>
                <w:vertAlign w:val="superscript"/>
              </w:rPr>
              <w:t>3</w:t>
            </w:r>
            <w:r>
              <w:rPr>
                <w:rFonts w:hint="eastAsia"/>
                <w:color w:val="auto"/>
                <w:highlight w:val="none"/>
              </w:rPr>
              <w:t>/h（</w:t>
            </w:r>
            <w:r>
              <w:rPr>
                <w:rFonts w:hint="eastAsia"/>
                <w:color w:val="auto"/>
                <w:highlight w:val="none"/>
                <w:lang w:val="en-US" w:eastAsia="zh-CN"/>
              </w:rPr>
              <w:t>60.6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19998</w:t>
            </w:r>
            <w:r>
              <w:rPr>
                <w:rFonts w:hint="eastAsia"/>
                <w:color w:val="auto"/>
                <w:highlight w:val="none"/>
              </w:rPr>
              <w:t>m</w:t>
            </w:r>
            <w:r>
              <w:rPr>
                <w:rFonts w:hint="eastAsia"/>
                <w:color w:val="auto"/>
                <w:highlight w:val="none"/>
                <w:vertAlign w:val="superscript"/>
              </w:rPr>
              <w:t>3</w:t>
            </w:r>
            <w:r>
              <w:rPr>
                <w:rFonts w:hint="eastAsia"/>
                <w:color w:val="auto"/>
                <w:highlight w:val="none"/>
              </w:rPr>
              <w:t>/a，这部分水全部进入物料或自然蒸发，无废水产生。</w:t>
            </w:r>
          </w:p>
          <w:p>
            <w:pPr>
              <w:pStyle w:val="32"/>
              <w:adjustRightInd w:val="0"/>
              <w:snapToGrid w:val="0"/>
              <w:ind w:firstLine="480"/>
              <w:rPr>
                <w:color w:val="auto"/>
                <w:highlight w:val="none"/>
              </w:rPr>
            </w:pPr>
            <w:r>
              <w:rPr>
                <w:rFonts w:hint="eastAsia"/>
                <w:color w:val="auto"/>
                <w:highlight w:val="none"/>
              </w:rPr>
              <w:t>2.排水</w:t>
            </w:r>
          </w:p>
          <w:p>
            <w:pPr>
              <w:pStyle w:val="32"/>
              <w:adjustRightInd w:val="0"/>
              <w:snapToGrid w:val="0"/>
              <w:ind w:firstLine="480"/>
              <w:rPr>
                <w:color w:val="auto"/>
                <w:highlight w:val="none"/>
              </w:rPr>
            </w:pPr>
            <w:r>
              <w:rPr>
                <w:color w:val="auto"/>
                <w:highlight w:val="none"/>
              </w:rPr>
              <w:t>拟建项目</w:t>
            </w:r>
            <w:r>
              <w:rPr>
                <w:rFonts w:hint="eastAsia"/>
                <w:color w:val="auto"/>
                <w:highlight w:val="none"/>
              </w:rPr>
              <w:t>实行</w:t>
            </w:r>
            <w:r>
              <w:rPr>
                <w:color w:val="auto"/>
                <w:highlight w:val="none"/>
              </w:rPr>
              <w:t>雨污分流制。</w:t>
            </w:r>
          </w:p>
          <w:p>
            <w:pPr>
              <w:pStyle w:val="32"/>
              <w:adjustRightInd w:val="0"/>
              <w:snapToGrid w:val="0"/>
              <w:ind w:firstLine="480"/>
              <w:rPr>
                <w:color w:val="auto"/>
                <w:highlight w:val="none"/>
              </w:rPr>
            </w:pPr>
            <w:r>
              <w:rPr>
                <w:rFonts w:hint="eastAsia"/>
                <w:color w:val="auto"/>
                <w:highlight w:val="none"/>
              </w:rPr>
              <w:t>（1）雨水</w:t>
            </w:r>
          </w:p>
          <w:p>
            <w:pPr>
              <w:pStyle w:val="32"/>
              <w:adjustRightInd w:val="0"/>
              <w:snapToGrid w:val="0"/>
              <w:ind w:firstLine="480"/>
              <w:rPr>
                <w:color w:val="auto"/>
                <w:highlight w:val="none"/>
              </w:rPr>
            </w:pPr>
            <w:r>
              <w:rPr>
                <w:color w:val="auto"/>
                <w:highlight w:val="none"/>
              </w:rPr>
              <w:t>厂区雨排水设置单独的管道系统，</w:t>
            </w:r>
            <w:r>
              <w:rPr>
                <w:rFonts w:hint="eastAsia"/>
                <w:color w:val="auto"/>
                <w:highlight w:val="none"/>
              </w:rPr>
              <w:t>拟</w:t>
            </w:r>
            <w:r>
              <w:rPr>
                <w:color w:val="auto"/>
                <w:highlight w:val="none"/>
              </w:rPr>
              <w:t>建1座有效容积</w:t>
            </w:r>
            <w:r>
              <w:rPr>
                <w:rFonts w:hint="eastAsia"/>
                <w:color w:val="auto"/>
                <w:highlight w:val="none"/>
                <w:lang w:val="en-US" w:eastAsia="zh-CN"/>
              </w:rPr>
              <w:t>400</w:t>
            </w:r>
            <w:r>
              <w:rPr>
                <w:color w:val="auto"/>
                <w:highlight w:val="none"/>
              </w:rPr>
              <w:t>m</w:t>
            </w:r>
            <w:r>
              <w:rPr>
                <w:color w:val="auto"/>
                <w:highlight w:val="none"/>
                <w:vertAlign w:val="superscript"/>
              </w:rPr>
              <w:t>3</w:t>
            </w:r>
            <w:r>
              <w:rPr>
                <w:color w:val="auto"/>
                <w:highlight w:val="none"/>
              </w:rPr>
              <w:t>的初期雨水收集池。收集的初期雨水经沉淀后作为洒水抑尘用水，不外排。根据《有色金属工业环境保护工程设计规范》（GB50988-2014）的相关要求，收集的初期雨水应当在5日内全部利用。</w:t>
            </w:r>
          </w:p>
          <w:p>
            <w:pPr>
              <w:pStyle w:val="32"/>
              <w:adjustRightInd w:val="0"/>
              <w:snapToGrid w:val="0"/>
              <w:ind w:firstLine="480"/>
              <w:rPr>
                <w:color w:val="auto"/>
                <w:highlight w:val="none"/>
              </w:rPr>
            </w:pPr>
            <w:r>
              <w:rPr>
                <w:rFonts w:hint="eastAsia"/>
                <w:color w:val="auto"/>
                <w:highlight w:val="none"/>
              </w:rPr>
              <w:t>（2）废水</w:t>
            </w:r>
          </w:p>
          <w:p>
            <w:pPr>
              <w:pStyle w:val="32"/>
              <w:adjustRightInd w:val="0"/>
              <w:snapToGrid w:val="0"/>
              <w:ind w:firstLine="480"/>
              <w:rPr>
                <w:color w:val="auto"/>
                <w:highlight w:val="none"/>
              </w:rPr>
            </w:pPr>
            <w:r>
              <w:rPr>
                <w:color w:val="auto"/>
                <w:highlight w:val="none"/>
              </w:rPr>
              <w:t>洗车</w:t>
            </w:r>
            <w:r>
              <w:rPr>
                <w:rFonts w:hint="eastAsia"/>
                <w:color w:val="auto"/>
                <w:highlight w:val="none"/>
              </w:rPr>
              <w:t>废水、洗手池废水、地面冲洗用水沉淀后作为循环使用，不外排。</w:t>
            </w:r>
          </w:p>
          <w:p>
            <w:pPr>
              <w:pStyle w:val="32"/>
              <w:adjustRightInd w:val="0"/>
              <w:snapToGrid w:val="0"/>
              <w:ind w:firstLine="464"/>
              <w:rPr>
                <w:color w:val="auto"/>
                <w:highlight w:val="none"/>
              </w:rPr>
            </w:pPr>
            <w:r>
              <w:rPr>
                <w:rFonts w:hint="eastAsia"/>
                <w:color w:val="auto"/>
                <w:spacing w:val="-4"/>
                <w:highlight w:val="none"/>
              </w:rPr>
              <w:t>生活污水经</w:t>
            </w:r>
            <w:r>
              <w:rPr>
                <w:rFonts w:hint="eastAsia"/>
                <w:color w:val="auto"/>
                <w:szCs w:val="21"/>
                <w:highlight w:val="none"/>
              </w:rPr>
              <w:t>市政污水管网排入</w:t>
            </w:r>
            <w:r>
              <w:rPr>
                <w:rFonts w:hint="eastAsia"/>
                <w:color w:val="auto"/>
                <w:highlight w:val="none"/>
              </w:rPr>
              <w:t>漳湾临港工业区临时一体化污水处理厂</w:t>
            </w:r>
            <w:r>
              <w:rPr>
                <w:rFonts w:hint="eastAsia"/>
                <w:color w:val="auto"/>
                <w:spacing w:val="-4"/>
                <w:highlight w:val="none"/>
              </w:rPr>
              <w:t>进一步处理后排放</w:t>
            </w:r>
            <w:r>
              <w:rPr>
                <w:rFonts w:hint="eastAsia"/>
                <w:color w:val="auto"/>
                <w:highlight w:val="none"/>
              </w:rPr>
              <w:t>。</w:t>
            </w:r>
          </w:p>
          <w:p>
            <w:pPr>
              <w:pStyle w:val="32"/>
              <w:adjustRightInd w:val="0"/>
              <w:snapToGrid w:val="0"/>
              <w:ind w:firstLine="480"/>
              <w:rPr>
                <w:rFonts w:hint="eastAsia"/>
                <w:color w:val="auto"/>
                <w:highlight w:val="none"/>
              </w:rPr>
            </w:pPr>
            <w:r>
              <w:rPr>
                <w:rFonts w:hint="eastAsia"/>
                <w:color w:val="auto"/>
                <w:highlight w:val="none"/>
              </w:rPr>
              <w:t>拟建项目水平衡见下图。</w:t>
            </w:r>
          </w:p>
          <w:p>
            <w:pPr>
              <w:pStyle w:val="32"/>
              <w:adjustRightInd w:val="0"/>
              <w:snapToGrid w:val="0"/>
              <w:ind w:left="0" w:leftChars="0" w:firstLine="0" w:firstLineChars="0"/>
              <w:rPr>
                <w:color w:val="auto"/>
                <w:highlight w:val="none"/>
                <w:lang w:val="en-US"/>
              </w:rPr>
            </w:pPr>
            <w:r>
              <w:rPr>
                <w:rFonts w:hint="eastAsia"/>
                <w:color w:val="auto"/>
                <w:highlight w:val="none"/>
              </w:rPr>
              <w:object>
                <v:shape id="_x0000_i1025" o:spt="75" type="#_x0000_t75" style="height:395.45pt;width:442.9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r>
              <w:rPr>
                <w:rFonts w:hint="eastAsia"/>
                <w:color w:val="auto"/>
                <w:highlight w:val="none"/>
                <w:lang w:val="en-US"/>
              </w:rPr>
              <w:t>注：沉淀池和回用水池分别</w:t>
            </w:r>
            <w:r>
              <w:rPr>
                <w:rFonts w:hint="eastAsia"/>
                <w:color w:val="auto"/>
                <w:highlight w:val="none"/>
                <w:lang w:val="en-US" w:eastAsia="zh-CN"/>
              </w:rPr>
              <w:t>仅</w:t>
            </w:r>
            <w:r>
              <w:rPr>
                <w:rFonts w:hint="eastAsia"/>
                <w:color w:val="auto"/>
                <w:highlight w:val="none"/>
                <w:lang w:val="en-US"/>
              </w:rPr>
              <w:t>1套，方便描述在水平衡图中分开展示。</w:t>
            </w:r>
          </w:p>
          <w:p>
            <w:pPr>
              <w:pStyle w:val="33"/>
              <w:rPr>
                <w:rFonts w:hint="eastAsia" w:ascii="宋体" w:hAnsi="宋体" w:cs="宋体"/>
                <w:bCs/>
                <w:color w:val="auto"/>
                <w:highlight w:val="none"/>
              </w:rPr>
            </w:pPr>
            <w:r>
              <w:rPr>
                <w:rFonts w:hint="eastAsia"/>
                <w:color w:val="auto"/>
                <w:highlight w:val="none"/>
              </w:rPr>
              <w:t>图2.1-4  项目水平衡图    单位：</w:t>
            </w:r>
            <w:r>
              <w:rPr>
                <w:rFonts w:eastAsia="宋体"/>
                <w:color w:val="auto"/>
                <w:highlight w:val="none"/>
              </w:rPr>
              <w:t>m</w:t>
            </w:r>
            <w:r>
              <w:rPr>
                <w:rFonts w:eastAsia="宋体"/>
                <w:color w:val="auto"/>
                <w:highlight w:val="none"/>
                <w:vertAlign w:val="superscript"/>
              </w:rPr>
              <w:t>3</w:t>
            </w:r>
            <w:r>
              <w:rPr>
                <w:rFonts w:hint="eastAsia"/>
                <w:color w:val="auto"/>
                <w:highlight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0" w:hRule="atLeast"/>
          <w:jc w:val="center"/>
        </w:trPr>
        <w:tc>
          <w:tcPr>
            <w:tcW w:w="268" w:type="pct"/>
            <w:vAlign w:val="center"/>
          </w:tcPr>
          <w:p>
            <w:pPr>
              <w:pStyle w:val="16"/>
              <w:adjustRightInd w:val="0"/>
              <w:snapToGrid w:val="0"/>
              <w:spacing w:before="0" w:beforeAutospacing="0" w:after="0" w:afterAutospacing="0"/>
              <w:jc w:val="center"/>
              <w:rPr>
                <w:rFonts w:hint="eastAsia" w:cs="宋体"/>
                <w:color w:val="auto"/>
                <w:sz w:val="21"/>
                <w:szCs w:val="21"/>
                <w:highlight w:val="none"/>
              </w:rPr>
            </w:pPr>
            <w:r>
              <w:rPr>
                <w:rFonts w:hint="eastAsia" w:cs="宋体"/>
                <w:color w:val="auto"/>
                <w:sz w:val="21"/>
                <w:szCs w:val="21"/>
                <w:highlight w:val="none"/>
              </w:rPr>
              <w:t>工艺流程和产排污环节</w:t>
            </w:r>
          </w:p>
        </w:tc>
        <w:tc>
          <w:tcPr>
            <w:tcW w:w="4731" w:type="pct"/>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2.2工艺流程和产污环节</w:t>
            </w:r>
          </w:p>
          <w:p>
            <w:pPr>
              <w:pStyle w:val="29"/>
              <w:tabs>
                <w:tab w:val="left" w:pos="644"/>
              </w:tabs>
              <w:rPr>
                <w:color w:val="auto"/>
                <w:highlight w:val="none"/>
              </w:rPr>
            </w:pPr>
            <w:r>
              <w:rPr>
                <w:rFonts w:hint="eastAsia"/>
                <w:color w:val="auto"/>
                <w:highlight w:val="none"/>
              </w:rPr>
              <w:t xml:space="preserve">2.2.1 施工期 </w:t>
            </w:r>
          </w:p>
          <w:p>
            <w:pPr>
              <w:adjustRightInd w:val="0"/>
              <w:snapToGrid w:val="0"/>
              <w:spacing w:line="360" w:lineRule="auto"/>
              <w:ind w:firstLine="480" w:firstLineChars="200"/>
              <w:rPr>
                <w:color w:val="auto"/>
                <w:sz w:val="24"/>
                <w:highlight w:val="none"/>
              </w:rPr>
            </w:pPr>
            <w:r>
              <w:rPr>
                <w:rFonts w:hint="eastAsia"/>
                <w:color w:val="auto"/>
                <w:sz w:val="24"/>
                <w:highlight w:val="none"/>
              </w:rPr>
              <w:t>本项目租用宁德保税物流中心</w:t>
            </w:r>
            <w:r>
              <w:rPr>
                <w:rFonts w:hint="eastAsia"/>
                <w:color w:val="auto"/>
                <w:sz w:val="24"/>
                <w:highlight w:val="none"/>
                <w:lang w:val="en-US" w:eastAsia="zh-CN"/>
              </w:rPr>
              <w:t>内用地</w:t>
            </w:r>
            <w:r>
              <w:rPr>
                <w:rFonts w:hint="eastAsia"/>
                <w:color w:val="auto"/>
                <w:sz w:val="24"/>
                <w:highlight w:val="none"/>
              </w:rPr>
              <w:t>进行</w:t>
            </w:r>
            <w:r>
              <w:rPr>
                <w:rFonts w:hint="eastAsia"/>
                <w:color w:val="auto"/>
                <w:sz w:val="24"/>
                <w:highlight w:val="none"/>
                <w:lang w:val="en-US" w:eastAsia="zh-CN"/>
              </w:rPr>
              <w:t>建设</w:t>
            </w:r>
            <w:r>
              <w:rPr>
                <w:rFonts w:hint="eastAsia"/>
                <w:color w:val="auto"/>
                <w:sz w:val="24"/>
                <w:highlight w:val="none"/>
                <w:lang w:eastAsia="zh-CN"/>
              </w:rPr>
              <w:t>，</w:t>
            </w:r>
            <w:r>
              <w:rPr>
                <w:rFonts w:hint="eastAsia"/>
                <w:color w:val="auto"/>
                <w:sz w:val="24"/>
                <w:highlight w:val="none"/>
                <w:lang w:val="en-US" w:eastAsia="zh-CN"/>
              </w:rPr>
              <w:t>主要建设卸矿站、混矿库、</w:t>
            </w:r>
            <w:r>
              <w:rPr>
                <w:rFonts w:hint="eastAsia"/>
                <w:color w:val="auto"/>
                <w:sz w:val="24"/>
                <w:highlight w:val="none"/>
              </w:rPr>
              <w:t xml:space="preserve">输送线、一般固废暂存间、危废暂存间、初期雨水池等设施；本项目新增1条混矿生产线，并购置相关设备进行生产。项目施工期环境影响及保护措施分析详见4.1章节。 </w:t>
            </w:r>
          </w:p>
          <w:p>
            <w:pPr>
              <w:pStyle w:val="29"/>
              <w:tabs>
                <w:tab w:val="left" w:pos="644"/>
              </w:tabs>
              <w:rPr>
                <w:color w:val="auto"/>
                <w:highlight w:val="none"/>
              </w:rPr>
            </w:pPr>
            <w:r>
              <w:rPr>
                <w:rFonts w:hint="eastAsia"/>
                <w:color w:val="auto"/>
                <w:highlight w:val="none"/>
              </w:rPr>
              <w:t xml:space="preserve">2.2.2 运营期工艺流程及产污环节分析 </w:t>
            </w:r>
          </w:p>
          <w:p>
            <w:pPr>
              <w:pStyle w:val="42"/>
              <w:tabs>
                <w:tab w:val="left" w:pos="0"/>
              </w:tabs>
              <w:ind w:firstLine="480" w:firstLineChars="200"/>
              <w:rPr>
                <w:b w:val="0"/>
                <w:bCs w:val="0"/>
                <w:color w:val="auto"/>
                <w:szCs w:val="24"/>
                <w:highlight w:val="none"/>
              </w:rPr>
            </w:pPr>
            <w:r>
              <w:rPr>
                <w:rFonts w:hint="eastAsia"/>
                <w:b w:val="0"/>
                <w:bCs w:val="0"/>
                <w:color w:val="auto"/>
                <w:szCs w:val="24"/>
                <w:highlight w:val="none"/>
              </w:rPr>
              <w:t>中国进口铜精矿主要涉及两个国家强制性标准，分别是《有色金属矿产品的天然放射性限值》（GB 20664-2006）及《重金属精矿产品中有害元素的限量规范》（GB 20424-2006），铜精矿中所含有害元素见表2.2.1的规定。</w:t>
            </w:r>
          </w:p>
          <w:p>
            <w:pPr>
              <w:pStyle w:val="33"/>
              <w:rPr>
                <w:rFonts w:hint="eastAsia"/>
                <w:color w:val="auto"/>
                <w:highlight w:val="none"/>
              </w:rPr>
            </w:pPr>
          </w:p>
          <w:p>
            <w:pPr>
              <w:pStyle w:val="33"/>
              <w:rPr>
                <w:rFonts w:hint="eastAsia"/>
                <w:color w:val="auto"/>
                <w:highlight w:val="none"/>
              </w:rPr>
            </w:pPr>
          </w:p>
          <w:p>
            <w:pPr>
              <w:pStyle w:val="33"/>
              <w:rPr>
                <w:color w:val="auto"/>
                <w:highlight w:val="none"/>
              </w:rPr>
            </w:pPr>
            <w:r>
              <w:rPr>
                <w:rFonts w:hint="eastAsia"/>
                <w:color w:val="auto"/>
                <w:highlight w:val="none"/>
              </w:rPr>
              <w:t>表</w:t>
            </w:r>
            <w:r>
              <w:rPr>
                <w:color w:val="auto"/>
                <w:highlight w:val="none"/>
              </w:rPr>
              <w:t>2.2</w:t>
            </w:r>
            <w:r>
              <w:rPr>
                <w:rFonts w:hint="eastAsia"/>
                <w:color w:val="auto"/>
                <w:highlight w:val="none"/>
              </w:rPr>
              <w:t>.1</w:t>
            </w:r>
            <w:r>
              <w:rPr>
                <w:color w:val="auto"/>
                <w:highlight w:val="none"/>
              </w:rPr>
              <w:t xml:space="preserve"> </w:t>
            </w:r>
            <w:r>
              <w:rPr>
                <w:rFonts w:hint="eastAsia"/>
                <w:color w:val="auto"/>
                <w:highlight w:val="none"/>
              </w:rPr>
              <w:t xml:space="preserve"> 铜精矿产品中有害元素的限量规范</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6"/>
              <w:gridCol w:w="957"/>
              <w:gridCol w:w="981"/>
              <w:gridCol w:w="727"/>
              <w:gridCol w:w="1010"/>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pct"/>
                </w:tcPr>
                <w:p>
                  <w:pPr>
                    <w:pStyle w:val="34"/>
                    <w:widowControl w:val="0"/>
                    <w:rPr>
                      <w:color w:val="auto"/>
                      <w:highlight w:val="none"/>
                    </w:rPr>
                  </w:pPr>
                  <w:r>
                    <w:rPr>
                      <w:rFonts w:hint="eastAsia"/>
                      <w:color w:val="auto"/>
                      <w:highlight w:val="none"/>
                    </w:rPr>
                    <w:t>有害元素</w:t>
                  </w:r>
                </w:p>
              </w:tc>
              <w:tc>
                <w:tcPr>
                  <w:tcW w:w="545" w:type="pct"/>
                </w:tcPr>
                <w:p>
                  <w:pPr>
                    <w:pStyle w:val="34"/>
                    <w:widowControl w:val="0"/>
                    <w:rPr>
                      <w:color w:val="auto"/>
                      <w:highlight w:val="none"/>
                    </w:rPr>
                  </w:pPr>
                  <w:r>
                    <w:rPr>
                      <w:rFonts w:hint="eastAsia"/>
                      <w:color w:val="auto"/>
                      <w:highlight w:val="none"/>
                    </w:rPr>
                    <w:t>Pb</w:t>
                  </w:r>
                </w:p>
              </w:tc>
              <w:tc>
                <w:tcPr>
                  <w:tcW w:w="559" w:type="pct"/>
                </w:tcPr>
                <w:p>
                  <w:pPr>
                    <w:pStyle w:val="34"/>
                    <w:widowControl w:val="0"/>
                    <w:rPr>
                      <w:color w:val="auto"/>
                      <w:highlight w:val="none"/>
                    </w:rPr>
                  </w:pPr>
                  <w:r>
                    <w:rPr>
                      <w:rFonts w:hint="eastAsia"/>
                      <w:color w:val="auto"/>
                      <w:highlight w:val="none"/>
                    </w:rPr>
                    <w:t>As</w:t>
                  </w:r>
                </w:p>
              </w:tc>
              <w:tc>
                <w:tcPr>
                  <w:tcW w:w="414" w:type="pct"/>
                </w:tcPr>
                <w:p>
                  <w:pPr>
                    <w:pStyle w:val="34"/>
                    <w:widowControl w:val="0"/>
                    <w:rPr>
                      <w:color w:val="auto"/>
                      <w:highlight w:val="none"/>
                    </w:rPr>
                  </w:pPr>
                  <w:r>
                    <w:rPr>
                      <w:rFonts w:hint="eastAsia"/>
                      <w:color w:val="auto"/>
                      <w:highlight w:val="none"/>
                    </w:rPr>
                    <w:t>F</w:t>
                  </w:r>
                </w:p>
              </w:tc>
              <w:tc>
                <w:tcPr>
                  <w:tcW w:w="575" w:type="pct"/>
                </w:tcPr>
                <w:p>
                  <w:pPr>
                    <w:pStyle w:val="34"/>
                    <w:widowControl w:val="0"/>
                    <w:rPr>
                      <w:color w:val="auto"/>
                      <w:highlight w:val="none"/>
                    </w:rPr>
                  </w:pPr>
                  <w:r>
                    <w:rPr>
                      <w:rFonts w:hint="eastAsia"/>
                      <w:color w:val="auto"/>
                      <w:highlight w:val="none"/>
                    </w:rPr>
                    <w:t>Cd</w:t>
                  </w:r>
                </w:p>
              </w:tc>
              <w:tc>
                <w:tcPr>
                  <w:tcW w:w="588" w:type="pct"/>
                </w:tcPr>
                <w:p>
                  <w:pPr>
                    <w:pStyle w:val="34"/>
                    <w:widowControl w:val="0"/>
                    <w:rPr>
                      <w:color w:val="auto"/>
                      <w:highlight w:val="none"/>
                    </w:rPr>
                  </w:pPr>
                  <w:r>
                    <w:rPr>
                      <w:rFonts w:hint="eastAsia"/>
                      <w:color w:val="auto"/>
                      <w:highlight w:val="none"/>
                    </w:rPr>
                    <w:t>Hg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7" w:type="pct"/>
                </w:tcPr>
                <w:p>
                  <w:pPr>
                    <w:pStyle w:val="34"/>
                    <w:widowControl w:val="0"/>
                    <w:rPr>
                      <w:color w:val="auto"/>
                      <w:highlight w:val="none"/>
                    </w:rPr>
                  </w:pPr>
                  <w:r>
                    <w:rPr>
                      <w:rFonts w:hint="eastAsia"/>
                      <w:color w:val="auto"/>
                      <w:highlight w:val="none"/>
                    </w:rPr>
                    <w:t>含量，不大于，</w:t>
                  </w:r>
                  <w:r>
                    <w:rPr>
                      <w:color w:val="auto"/>
                      <w:highlight w:val="none"/>
                    </w:rPr>
                    <w:t>%</w:t>
                  </w:r>
                </w:p>
              </w:tc>
              <w:tc>
                <w:tcPr>
                  <w:tcW w:w="545" w:type="pct"/>
                </w:tcPr>
                <w:p>
                  <w:pPr>
                    <w:pStyle w:val="34"/>
                    <w:widowControl w:val="0"/>
                    <w:rPr>
                      <w:color w:val="auto"/>
                      <w:highlight w:val="none"/>
                    </w:rPr>
                  </w:pPr>
                  <w:r>
                    <w:rPr>
                      <w:rFonts w:hint="eastAsia"/>
                      <w:color w:val="auto"/>
                      <w:highlight w:val="none"/>
                    </w:rPr>
                    <w:t>6.0</w:t>
                  </w:r>
                </w:p>
              </w:tc>
              <w:tc>
                <w:tcPr>
                  <w:tcW w:w="559" w:type="pct"/>
                </w:tcPr>
                <w:p>
                  <w:pPr>
                    <w:pStyle w:val="34"/>
                    <w:widowControl w:val="0"/>
                    <w:rPr>
                      <w:color w:val="auto"/>
                      <w:highlight w:val="none"/>
                    </w:rPr>
                  </w:pPr>
                  <w:r>
                    <w:rPr>
                      <w:rFonts w:hint="eastAsia"/>
                      <w:color w:val="auto"/>
                      <w:highlight w:val="none"/>
                    </w:rPr>
                    <w:t>0.5</w:t>
                  </w:r>
                </w:p>
              </w:tc>
              <w:tc>
                <w:tcPr>
                  <w:tcW w:w="414" w:type="pct"/>
                </w:tcPr>
                <w:p>
                  <w:pPr>
                    <w:pStyle w:val="34"/>
                    <w:widowControl w:val="0"/>
                    <w:rPr>
                      <w:color w:val="auto"/>
                      <w:highlight w:val="none"/>
                    </w:rPr>
                  </w:pPr>
                  <w:r>
                    <w:rPr>
                      <w:rFonts w:hint="eastAsia"/>
                      <w:color w:val="auto"/>
                      <w:highlight w:val="none"/>
                    </w:rPr>
                    <w:t>0.1</w:t>
                  </w:r>
                </w:p>
              </w:tc>
              <w:tc>
                <w:tcPr>
                  <w:tcW w:w="575" w:type="pct"/>
                </w:tcPr>
                <w:p>
                  <w:pPr>
                    <w:pStyle w:val="34"/>
                    <w:widowControl w:val="0"/>
                    <w:rPr>
                      <w:color w:val="auto"/>
                      <w:highlight w:val="none"/>
                    </w:rPr>
                  </w:pPr>
                  <w:r>
                    <w:rPr>
                      <w:rFonts w:hint="eastAsia"/>
                      <w:color w:val="auto"/>
                      <w:highlight w:val="none"/>
                    </w:rPr>
                    <w:t>0.05</w:t>
                  </w:r>
                </w:p>
              </w:tc>
              <w:tc>
                <w:tcPr>
                  <w:tcW w:w="588" w:type="pct"/>
                </w:tcPr>
                <w:p>
                  <w:pPr>
                    <w:pStyle w:val="34"/>
                    <w:widowControl w:val="0"/>
                    <w:rPr>
                      <w:color w:val="auto"/>
                      <w:highlight w:val="none"/>
                    </w:rPr>
                  </w:pPr>
                  <w:r>
                    <w:rPr>
                      <w:rFonts w:hint="eastAsia"/>
                      <w:color w:val="auto"/>
                      <w:highlight w:val="none"/>
                    </w:rPr>
                    <w:t>0.01</w:t>
                  </w:r>
                </w:p>
              </w:tc>
            </w:tr>
          </w:tbl>
          <w:p>
            <w:pPr>
              <w:pStyle w:val="42"/>
              <w:tabs>
                <w:tab w:val="left" w:pos="0"/>
              </w:tabs>
              <w:ind w:firstLine="480" w:firstLineChars="200"/>
              <w:rPr>
                <w:b w:val="0"/>
                <w:bCs w:val="0"/>
                <w:color w:val="auto"/>
                <w:szCs w:val="24"/>
                <w:highlight w:val="none"/>
              </w:rPr>
            </w:pPr>
            <w:r>
              <w:rPr>
                <w:rFonts w:hint="eastAsia"/>
                <w:b w:val="0"/>
                <w:bCs w:val="0"/>
                <w:color w:val="auto"/>
                <w:szCs w:val="24"/>
                <w:highlight w:val="none"/>
              </w:rPr>
              <w:t>本项目生产工艺相对较简单，主要进行混拌等物理工艺过程。生产时原料铜精矿（非标矿A矿）和铜精矿（标准矿B矿）按一定的比例配比混合，混出符合要求的铜精矿，配矿模式例子见表2.2.2。</w:t>
            </w:r>
          </w:p>
          <w:p>
            <w:pPr>
              <w:pStyle w:val="33"/>
              <w:rPr>
                <w:color w:val="auto"/>
                <w:highlight w:val="none"/>
              </w:rPr>
            </w:pPr>
            <w:r>
              <w:rPr>
                <w:rFonts w:hint="eastAsia"/>
                <w:color w:val="auto"/>
                <w:highlight w:val="none"/>
              </w:rPr>
              <w:t>表</w:t>
            </w:r>
            <w:r>
              <w:rPr>
                <w:color w:val="auto"/>
                <w:highlight w:val="none"/>
              </w:rPr>
              <w:t>2.2</w:t>
            </w:r>
            <w:r>
              <w:rPr>
                <w:rFonts w:hint="eastAsia"/>
                <w:color w:val="auto"/>
                <w:highlight w:val="none"/>
              </w:rPr>
              <w:t>.2</w:t>
            </w:r>
            <w:r>
              <w:rPr>
                <w:color w:val="auto"/>
                <w:highlight w:val="none"/>
              </w:rPr>
              <w:t xml:space="preserve"> </w:t>
            </w:r>
            <w:r>
              <w:rPr>
                <w:rFonts w:hint="eastAsia"/>
                <w:color w:val="auto"/>
                <w:highlight w:val="none"/>
              </w:rPr>
              <w:t xml:space="preserve"> 配矿模式（非标矿：标准矿=1:2）</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120"/>
              <w:gridCol w:w="1132"/>
              <w:gridCol w:w="1006"/>
              <w:gridCol w:w="1144"/>
              <w:gridCol w:w="1157"/>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0" w:type="pct"/>
                </w:tcPr>
                <w:p>
                  <w:pPr>
                    <w:pStyle w:val="34"/>
                    <w:widowControl w:val="0"/>
                    <w:rPr>
                      <w:color w:val="auto"/>
                      <w:highlight w:val="none"/>
                    </w:rPr>
                  </w:pPr>
                  <w:r>
                    <w:rPr>
                      <w:rFonts w:hint="eastAsia"/>
                      <w:color w:val="auto"/>
                      <w:highlight w:val="none"/>
                    </w:rPr>
                    <w:t>矿种</w:t>
                  </w:r>
                </w:p>
              </w:tc>
              <w:tc>
                <w:tcPr>
                  <w:tcW w:w="638" w:type="pct"/>
                </w:tcPr>
                <w:p>
                  <w:pPr>
                    <w:pStyle w:val="34"/>
                    <w:widowControl w:val="0"/>
                    <w:rPr>
                      <w:color w:val="auto"/>
                      <w:highlight w:val="none"/>
                    </w:rPr>
                  </w:pPr>
                  <w:r>
                    <w:rPr>
                      <w:rFonts w:hint="eastAsia"/>
                      <w:color w:val="auto"/>
                      <w:highlight w:val="none"/>
                    </w:rPr>
                    <w:t>Pb（%）</w:t>
                  </w:r>
                </w:p>
              </w:tc>
              <w:tc>
                <w:tcPr>
                  <w:tcW w:w="645" w:type="pct"/>
                </w:tcPr>
                <w:p>
                  <w:pPr>
                    <w:pStyle w:val="34"/>
                    <w:widowControl w:val="0"/>
                    <w:rPr>
                      <w:color w:val="auto"/>
                      <w:highlight w:val="none"/>
                    </w:rPr>
                  </w:pPr>
                  <w:r>
                    <w:rPr>
                      <w:rFonts w:hint="eastAsia"/>
                      <w:color w:val="auto"/>
                      <w:highlight w:val="none"/>
                    </w:rPr>
                    <w:t>As（%）</w:t>
                  </w:r>
                </w:p>
              </w:tc>
              <w:tc>
                <w:tcPr>
                  <w:tcW w:w="573" w:type="pct"/>
                </w:tcPr>
                <w:p>
                  <w:pPr>
                    <w:pStyle w:val="34"/>
                    <w:widowControl w:val="0"/>
                    <w:rPr>
                      <w:color w:val="auto"/>
                      <w:highlight w:val="none"/>
                    </w:rPr>
                  </w:pPr>
                  <w:r>
                    <w:rPr>
                      <w:rFonts w:hint="eastAsia"/>
                      <w:color w:val="auto"/>
                      <w:highlight w:val="none"/>
                    </w:rPr>
                    <w:t>*F（%）</w:t>
                  </w:r>
                </w:p>
              </w:tc>
              <w:tc>
                <w:tcPr>
                  <w:tcW w:w="652" w:type="pct"/>
                </w:tcPr>
                <w:p>
                  <w:pPr>
                    <w:pStyle w:val="34"/>
                    <w:widowControl w:val="0"/>
                    <w:rPr>
                      <w:color w:val="auto"/>
                      <w:highlight w:val="none"/>
                    </w:rPr>
                  </w:pPr>
                  <w:r>
                    <w:rPr>
                      <w:rFonts w:hint="eastAsia"/>
                      <w:color w:val="auto"/>
                      <w:highlight w:val="none"/>
                    </w:rPr>
                    <w:t>*Cd（%）</w:t>
                  </w:r>
                </w:p>
              </w:tc>
              <w:tc>
                <w:tcPr>
                  <w:tcW w:w="659" w:type="pct"/>
                </w:tcPr>
                <w:p>
                  <w:pPr>
                    <w:pStyle w:val="34"/>
                    <w:widowControl w:val="0"/>
                    <w:rPr>
                      <w:color w:val="auto"/>
                      <w:highlight w:val="none"/>
                    </w:rPr>
                  </w:pPr>
                  <w:r>
                    <w:rPr>
                      <w:rFonts w:hint="eastAsia"/>
                      <w:color w:val="auto"/>
                      <w:highlight w:val="none"/>
                    </w:rPr>
                    <w:t>*Hg（%）</w:t>
                  </w:r>
                </w:p>
              </w:tc>
              <w:tc>
                <w:tcPr>
                  <w:tcW w:w="1020" w:type="pct"/>
                </w:tcPr>
                <w:p>
                  <w:pPr>
                    <w:pStyle w:val="34"/>
                    <w:widowControl w:val="0"/>
                    <w:rPr>
                      <w:color w:val="auto"/>
                      <w:highlight w:val="none"/>
                    </w:rPr>
                  </w:pPr>
                  <w:r>
                    <w:rPr>
                      <w:rFonts w:hint="eastAsia"/>
                      <w:color w:val="auto"/>
                      <w:highlight w:val="none"/>
                    </w:rPr>
                    <w:t>投料占比（%）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tcPr>
                <w:p>
                  <w:pPr>
                    <w:pStyle w:val="34"/>
                    <w:widowControl w:val="0"/>
                    <w:rPr>
                      <w:color w:val="auto"/>
                      <w:highlight w:val="none"/>
                    </w:rPr>
                  </w:pPr>
                  <w:r>
                    <w:rPr>
                      <w:rFonts w:hint="eastAsia"/>
                      <w:color w:val="auto"/>
                      <w:szCs w:val="24"/>
                      <w:highlight w:val="none"/>
                    </w:rPr>
                    <w:t>非标矿A矿</w:t>
                  </w:r>
                </w:p>
              </w:tc>
              <w:tc>
                <w:tcPr>
                  <w:tcW w:w="638" w:type="pct"/>
                </w:tcPr>
                <w:p>
                  <w:pPr>
                    <w:pStyle w:val="34"/>
                    <w:widowControl w:val="0"/>
                    <w:rPr>
                      <w:color w:val="auto"/>
                      <w:highlight w:val="none"/>
                    </w:rPr>
                  </w:pPr>
                </w:p>
              </w:tc>
              <w:tc>
                <w:tcPr>
                  <w:tcW w:w="645" w:type="pct"/>
                </w:tcPr>
                <w:p>
                  <w:pPr>
                    <w:pStyle w:val="34"/>
                    <w:widowControl w:val="0"/>
                    <w:rPr>
                      <w:color w:val="auto"/>
                      <w:highlight w:val="none"/>
                    </w:rPr>
                  </w:pPr>
                </w:p>
              </w:tc>
              <w:tc>
                <w:tcPr>
                  <w:tcW w:w="573" w:type="pct"/>
                </w:tcPr>
                <w:p>
                  <w:pPr>
                    <w:pStyle w:val="34"/>
                    <w:widowControl w:val="0"/>
                    <w:jc w:val="both"/>
                    <w:rPr>
                      <w:rFonts w:hint="default" w:eastAsia="宋体"/>
                      <w:color w:val="auto"/>
                      <w:highlight w:val="none"/>
                      <w:lang w:val="en-US" w:eastAsia="zh-CN"/>
                    </w:rPr>
                  </w:pPr>
                </w:p>
              </w:tc>
              <w:tc>
                <w:tcPr>
                  <w:tcW w:w="652" w:type="pct"/>
                </w:tcPr>
                <w:p>
                  <w:pPr>
                    <w:pStyle w:val="34"/>
                    <w:widowControl w:val="0"/>
                    <w:rPr>
                      <w:color w:val="auto"/>
                      <w:highlight w:val="none"/>
                    </w:rPr>
                  </w:pPr>
                </w:p>
              </w:tc>
              <w:tc>
                <w:tcPr>
                  <w:tcW w:w="659" w:type="pct"/>
                </w:tcPr>
                <w:p>
                  <w:pPr>
                    <w:pStyle w:val="34"/>
                    <w:widowControl w:val="0"/>
                    <w:rPr>
                      <w:color w:val="auto"/>
                      <w:highlight w:val="none"/>
                    </w:rPr>
                  </w:pPr>
                </w:p>
              </w:tc>
              <w:tc>
                <w:tcPr>
                  <w:tcW w:w="1020" w:type="pct"/>
                </w:tcPr>
                <w:p>
                  <w:pPr>
                    <w:pStyle w:val="34"/>
                    <w:widowControl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tcPr>
                <w:p>
                  <w:pPr>
                    <w:pStyle w:val="34"/>
                    <w:widowControl w:val="0"/>
                    <w:rPr>
                      <w:color w:val="auto"/>
                      <w:highlight w:val="none"/>
                    </w:rPr>
                  </w:pPr>
                  <w:r>
                    <w:rPr>
                      <w:rFonts w:hint="eastAsia"/>
                      <w:color w:val="auto"/>
                      <w:szCs w:val="24"/>
                      <w:highlight w:val="none"/>
                    </w:rPr>
                    <w:t>标准矿B矿</w:t>
                  </w:r>
                </w:p>
              </w:tc>
              <w:tc>
                <w:tcPr>
                  <w:tcW w:w="638" w:type="pct"/>
                </w:tcPr>
                <w:p>
                  <w:pPr>
                    <w:pStyle w:val="34"/>
                    <w:widowControl w:val="0"/>
                    <w:rPr>
                      <w:color w:val="auto"/>
                      <w:highlight w:val="none"/>
                    </w:rPr>
                  </w:pPr>
                </w:p>
              </w:tc>
              <w:tc>
                <w:tcPr>
                  <w:tcW w:w="645" w:type="pct"/>
                </w:tcPr>
                <w:p>
                  <w:pPr>
                    <w:pStyle w:val="34"/>
                    <w:widowControl w:val="0"/>
                    <w:rPr>
                      <w:color w:val="auto"/>
                      <w:highlight w:val="none"/>
                    </w:rPr>
                  </w:pPr>
                </w:p>
              </w:tc>
              <w:tc>
                <w:tcPr>
                  <w:tcW w:w="573" w:type="pct"/>
                </w:tcPr>
                <w:p>
                  <w:pPr>
                    <w:pStyle w:val="34"/>
                    <w:widowControl w:val="0"/>
                    <w:rPr>
                      <w:color w:val="auto"/>
                      <w:highlight w:val="none"/>
                    </w:rPr>
                  </w:pPr>
                </w:p>
              </w:tc>
              <w:tc>
                <w:tcPr>
                  <w:tcW w:w="652" w:type="pct"/>
                </w:tcPr>
                <w:p>
                  <w:pPr>
                    <w:pStyle w:val="34"/>
                    <w:widowControl w:val="0"/>
                    <w:rPr>
                      <w:color w:val="auto"/>
                      <w:highlight w:val="none"/>
                    </w:rPr>
                  </w:pPr>
                </w:p>
              </w:tc>
              <w:tc>
                <w:tcPr>
                  <w:tcW w:w="659" w:type="pct"/>
                </w:tcPr>
                <w:p>
                  <w:pPr>
                    <w:pStyle w:val="34"/>
                    <w:widowControl w:val="0"/>
                    <w:rPr>
                      <w:color w:val="auto"/>
                      <w:highlight w:val="none"/>
                    </w:rPr>
                  </w:pPr>
                </w:p>
              </w:tc>
              <w:tc>
                <w:tcPr>
                  <w:tcW w:w="1020" w:type="pct"/>
                </w:tcPr>
                <w:p>
                  <w:pPr>
                    <w:pStyle w:val="34"/>
                    <w:widowControl w:val="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pct"/>
                </w:tcPr>
                <w:p>
                  <w:pPr>
                    <w:pStyle w:val="34"/>
                    <w:widowControl w:val="0"/>
                    <w:rPr>
                      <w:color w:val="auto"/>
                      <w:szCs w:val="24"/>
                      <w:highlight w:val="none"/>
                    </w:rPr>
                  </w:pPr>
                  <w:r>
                    <w:rPr>
                      <w:rFonts w:hint="eastAsia"/>
                      <w:color w:val="auto"/>
                      <w:szCs w:val="24"/>
                      <w:highlight w:val="none"/>
                    </w:rPr>
                    <w:t>混配后含量</w:t>
                  </w:r>
                </w:p>
              </w:tc>
              <w:tc>
                <w:tcPr>
                  <w:tcW w:w="1131" w:type="dxa"/>
                </w:tcPr>
                <w:p>
                  <w:pPr>
                    <w:widowControl/>
                    <w:jc w:val="center"/>
                    <w:textAlignment w:val="top"/>
                    <w:rPr>
                      <w:color w:val="auto"/>
                      <w:highlight w:val="none"/>
                    </w:rPr>
                  </w:pPr>
                </w:p>
              </w:tc>
              <w:tc>
                <w:tcPr>
                  <w:tcW w:w="1144" w:type="dxa"/>
                </w:tcPr>
                <w:p>
                  <w:pPr>
                    <w:widowControl/>
                    <w:jc w:val="center"/>
                    <w:textAlignment w:val="top"/>
                    <w:rPr>
                      <w:color w:val="auto"/>
                      <w:highlight w:val="none"/>
                    </w:rPr>
                  </w:pPr>
                </w:p>
              </w:tc>
              <w:tc>
                <w:tcPr>
                  <w:tcW w:w="1016" w:type="dxa"/>
                </w:tcPr>
                <w:p>
                  <w:pPr>
                    <w:widowControl/>
                    <w:jc w:val="center"/>
                    <w:textAlignment w:val="top"/>
                    <w:rPr>
                      <w:color w:val="auto"/>
                      <w:highlight w:val="none"/>
                    </w:rPr>
                  </w:pPr>
                </w:p>
              </w:tc>
              <w:tc>
                <w:tcPr>
                  <w:tcW w:w="1156" w:type="dxa"/>
                </w:tcPr>
                <w:p>
                  <w:pPr>
                    <w:widowControl/>
                    <w:jc w:val="center"/>
                    <w:textAlignment w:val="top"/>
                    <w:rPr>
                      <w:color w:val="auto"/>
                      <w:highlight w:val="none"/>
                    </w:rPr>
                  </w:pPr>
                </w:p>
              </w:tc>
              <w:tc>
                <w:tcPr>
                  <w:tcW w:w="1168" w:type="dxa"/>
                </w:tcPr>
                <w:p>
                  <w:pPr>
                    <w:widowControl/>
                    <w:jc w:val="center"/>
                    <w:textAlignment w:val="top"/>
                    <w:rPr>
                      <w:color w:val="auto"/>
                      <w:highlight w:val="none"/>
                    </w:rPr>
                  </w:pPr>
                </w:p>
              </w:tc>
              <w:tc>
                <w:tcPr>
                  <w:tcW w:w="1020" w:type="pct"/>
                </w:tcPr>
                <w:p>
                  <w:pPr>
                    <w:pStyle w:val="34"/>
                    <w:widowControl w:val="0"/>
                    <w:rPr>
                      <w:color w:val="auto"/>
                      <w:highlight w:val="none"/>
                    </w:rPr>
                  </w:pPr>
                </w:p>
              </w:tc>
            </w:tr>
          </w:tbl>
          <w:p>
            <w:pPr>
              <w:pStyle w:val="33"/>
              <w:jc w:val="left"/>
              <w:rPr>
                <w:rFonts w:hint="eastAsia" w:ascii="宋体" w:hAnsi="宋体" w:eastAsia="宋体" w:cs="宋体"/>
                <w:b w:val="0"/>
                <w:color w:val="auto"/>
                <w:sz w:val="18"/>
                <w:szCs w:val="18"/>
                <w:highlight w:val="none"/>
              </w:rPr>
            </w:pPr>
            <w:r>
              <w:rPr>
                <w:rFonts w:hint="eastAsia" w:ascii="宋体" w:hAnsi="宋体" w:eastAsia="宋体" w:cs="宋体"/>
                <w:b w:val="0"/>
                <w:color w:val="auto"/>
                <w:sz w:val="18"/>
                <w:szCs w:val="18"/>
                <w:highlight w:val="none"/>
              </w:rPr>
              <w:t>*注：原料中未实测的因子用标准限值控制。</w:t>
            </w:r>
          </w:p>
          <w:p>
            <w:pPr>
              <w:pStyle w:val="42"/>
              <w:tabs>
                <w:tab w:val="left" w:pos="0"/>
              </w:tabs>
              <w:rPr>
                <w:color w:val="auto"/>
                <w:highlight w:val="none"/>
              </w:rPr>
            </w:pPr>
            <w:r>
              <w:rPr>
                <w:rFonts w:hint="eastAsia"/>
                <w:color w:val="auto"/>
                <w:highlight w:val="none"/>
              </w:rPr>
              <w:t>2.2.2.1 工艺流程</w:t>
            </w:r>
          </w:p>
          <w:p>
            <w:pPr>
              <w:pStyle w:val="9"/>
              <w:spacing w:line="360" w:lineRule="auto"/>
              <w:ind w:left="0" w:leftChars="0" w:firstLine="480" w:firstLineChars="200"/>
              <w:rPr>
                <w:color w:val="auto"/>
                <w:sz w:val="24"/>
                <w:highlight w:val="none"/>
              </w:rPr>
            </w:pPr>
            <w:r>
              <w:rPr>
                <w:rFonts w:hint="eastAsia"/>
                <w:color w:val="auto"/>
                <w:sz w:val="24"/>
                <w:highlight w:val="none"/>
              </w:rPr>
              <w:t>本项目具体工艺流程及产污环节图如下图2.2-1所示：</w:t>
            </w:r>
          </w:p>
          <w:p>
            <w:pPr>
              <w:spacing w:line="360" w:lineRule="auto"/>
              <w:jc w:val="center"/>
              <w:rPr>
                <w:rFonts w:eastAsia="黑体"/>
                <w:b/>
                <w:color w:val="auto"/>
                <w:sz w:val="24"/>
                <w:highlight w:val="none"/>
              </w:rPr>
            </w:pPr>
            <w:r>
              <w:rPr>
                <w:rFonts w:eastAsia="黑体"/>
                <w:b/>
                <w:color w:val="auto"/>
                <w:sz w:val="24"/>
                <w:highlight w:val="none"/>
              </w:rPr>
              <w:object>
                <v:shape id="_x0000_i1026" o:spt="75" type="#_x0000_t75" style="height:399.7pt;width:420.9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spacing w:line="360" w:lineRule="auto"/>
              <w:jc w:val="center"/>
              <w:rPr>
                <w:rFonts w:eastAsia="黑体"/>
                <w:b/>
                <w:color w:val="auto"/>
                <w:sz w:val="24"/>
                <w:highlight w:val="none"/>
              </w:rPr>
            </w:pPr>
            <w:r>
              <w:rPr>
                <w:rFonts w:eastAsia="黑体"/>
                <w:b/>
                <w:color w:val="auto"/>
                <w:sz w:val="24"/>
                <w:highlight w:val="none"/>
              </w:rPr>
              <w:t>图2.2-</w:t>
            </w:r>
            <w:r>
              <w:rPr>
                <w:rFonts w:hint="eastAsia" w:eastAsia="黑体"/>
                <w:b/>
                <w:color w:val="auto"/>
                <w:sz w:val="24"/>
                <w:highlight w:val="none"/>
              </w:rPr>
              <w:t>1</w:t>
            </w:r>
            <w:r>
              <w:rPr>
                <w:rFonts w:eastAsia="黑体"/>
                <w:b/>
                <w:color w:val="auto"/>
                <w:sz w:val="24"/>
                <w:highlight w:val="none"/>
              </w:rPr>
              <w:t xml:space="preserve"> </w:t>
            </w:r>
            <w:r>
              <w:rPr>
                <w:rFonts w:hint="eastAsia" w:eastAsia="黑体"/>
                <w:b/>
                <w:color w:val="auto"/>
                <w:sz w:val="24"/>
                <w:highlight w:val="none"/>
              </w:rPr>
              <w:t xml:space="preserve"> 项目工艺流程</w:t>
            </w:r>
            <w:r>
              <w:rPr>
                <w:rFonts w:eastAsia="黑体"/>
                <w:b/>
                <w:color w:val="auto"/>
                <w:sz w:val="24"/>
                <w:highlight w:val="none"/>
              </w:rPr>
              <w:t>及产污环节示意图</w:t>
            </w:r>
          </w:p>
          <w:p>
            <w:pPr>
              <w:spacing w:line="360" w:lineRule="auto"/>
              <w:ind w:firstLine="482" w:firstLineChars="200"/>
              <w:rPr>
                <w:rFonts w:eastAsia="黑体"/>
                <w:b/>
                <w:color w:val="auto"/>
                <w:sz w:val="24"/>
                <w:highlight w:val="none"/>
              </w:rPr>
            </w:pPr>
            <w:r>
              <w:rPr>
                <w:rFonts w:hint="eastAsia" w:eastAsia="黑体"/>
                <w:b/>
                <w:color w:val="auto"/>
                <w:sz w:val="24"/>
                <w:highlight w:val="none"/>
              </w:rPr>
              <w:t>1.工艺流程简述</w:t>
            </w:r>
          </w:p>
          <w:p>
            <w:pPr>
              <w:numPr>
                <w:ilvl w:val="0"/>
                <w:numId w:val="1"/>
              </w:numPr>
              <w:spacing w:line="360" w:lineRule="auto"/>
              <w:ind w:firstLine="480" w:firstLineChars="200"/>
              <w:rPr>
                <w:color w:val="auto"/>
                <w:sz w:val="24"/>
                <w:highlight w:val="none"/>
              </w:rPr>
            </w:pPr>
            <w:r>
              <w:rPr>
                <w:rFonts w:hint="eastAsia"/>
                <w:color w:val="auto"/>
                <w:sz w:val="24"/>
                <w:highlight w:val="none"/>
              </w:rPr>
              <w:t>原料到港：原料A矿、B矿由散货</w:t>
            </w:r>
            <w:r>
              <w:rPr>
                <w:rFonts w:hint="eastAsia"/>
                <w:color w:val="auto"/>
                <w:sz w:val="24"/>
                <w:highlight w:val="none"/>
                <w:lang w:eastAsia="zh-CN"/>
              </w:rPr>
              <w:t>、</w:t>
            </w:r>
            <w:r>
              <w:rPr>
                <w:rFonts w:hint="eastAsia"/>
                <w:color w:val="auto"/>
                <w:sz w:val="24"/>
                <w:highlight w:val="none"/>
                <w:lang w:val="en-US" w:eastAsia="zh-CN"/>
              </w:rPr>
              <w:t>吨袋</w:t>
            </w:r>
            <w:r>
              <w:rPr>
                <w:rFonts w:hint="eastAsia"/>
                <w:color w:val="auto"/>
                <w:sz w:val="24"/>
                <w:highlight w:val="none"/>
              </w:rPr>
              <w:t>或集装箱海运到港，</w:t>
            </w:r>
            <w:r>
              <w:rPr>
                <w:rFonts w:hint="eastAsia"/>
                <w:color w:val="auto"/>
                <w:sz w:val="24"/>
                <w:highlight w:val="none"/>
                <w:lang w:val="en-US" w:eastAsia="zh-CN"/>
              </w:rPr>
              <w:t>经海关实施口岸检查（</w:t>
            </w:r>
            <w:r>
              <w:rPr>
                <w:rFonts w:hint="eastAsia"/>
                <w:color w:val="auto"/>
                <w:sz w:val="24"/>
                <w:highlight w:val="none"/>
              </w:rPr>
              <w:t>射线检测及检疫</w:t>
            </w:r>
            <w:r>
              <w:rPr>
                <w:rFonts w:hint="eastAsia"/>
                <w:color w:val="auto"/>
                <w:sz w:val="24"/>
                <w:highlight w:val="none"/>
                <w:lang w:val="en-US" w:eastAsia="zh-CN"/>
              </w:rPr>
              <w:t>），无异常后可进入下一步</w:t>
            </w:r>
            <w:r>
              <w:rPr>
                <w:rFonts w:hint="eastAsia"/>
                <w:color w:val="auto"/>
                <w:sz w:val="24"/>
                <w:highlight w:val="none"/>
              </w:rPr>
              <w:t>。</w:t>
            </w:r>
          </w:p>
          <w:p>
            <w:pPr>
              <w:numPr>
                <w:ilvl w:val="0"/>
                <w:numId w:val="1"/>
              </w:numPr>
              <w:spacing w:line="360" w:lineRule="auto"/>
              <w:ind w:firstLine="480" w:firstLineChars="200"/>
              <w:rPr>
                <w:color w:val="auto"/>
                <w:sz w:val="24"/>
                <w:highlight w:val="none"/>
              </w:rPr>
            </w:pPr>
            <w:r>
              <w:rPr>
                <w:color w:val="auto"/>
                <w:sz w:val="24"/>
                <w:highlight w:val="none"/>
              </w:rPr>
              <w:t>原料</w:t>
            </w:r>
            <w:r>
              <w:rPr>
                <w:rFonts w:hint="eastAsia"/>
                <w:color w:val="auto"/>
                <w:sz w:val="24"/>
                <w:highlight w:val="none"/>
              </w:rPr>
              <w:t>入库</w:t>
            </w:r>
            <w:r>
              <w:rPr>
                <w:color w:val="auto"/>
                <w:sz w:val="24"/>
                <w:highlight w:val="none"/>
              </w:rPr>
              <w:t>：采用皮带运输以及自卸货车运输两种运输方式</w:t>
            </w:r>
            <w:r>
              <w:rPr>
                <w:rFonts w:hint="eastAsia"/>
                <w:color w:val="auto"/>
                <w:sz w:val="24"/>
                <w:highlight w:val="none"/>
              </w:rPr>
              <w:t>至</w:t>
            </w:r>
            <w:r>
              <w:rPr>
                <w:rFonts w:hint="eastAsia"/>
                <w:color w:val="auto"/>
                <w:sz w:val="24"/>
                <w:highlight w:val="none"/>
                <w:lang w:val="en-US" w:eastAsia="zh-CN"/>
              </w:rPr>
              <w:t>卸矿站</w:t>
            </w:r>
            <w:r>
              <w:rPr>
                <w:color w:val="auto"/>
                <w:sz w:val="24"/>
                <w:highlight w:val="none"/>
              </w:rPr>
              <w:t>，漳湾码头10#泊位为东南铜业专用泊位，建有从码头至东南铜业精矿库的铜精矿输送线，输送线中的M8#胶带输送机最为接近保税物流中心，因此通过对M8#胶带输送机进行改造，并配套建设本项目的外部输送线能满足进口铜精矿进入保税库项目的</w:t>
            </w:r>
            <w:r>
              <w:rPr>
                <w:rFonts w:hint="eastAsia"/>
                <w:color w:val="auto"/>
                <w:sz w:val="24"/>
                <w:highlight w:val="none"/>
                <w:lang w:val="en-US" w:eastAsia="zh-CN"/>
              </w:rPr>
              <w:t>卸矿站</w:t>
            </w:r>
            <w:r>
              <w:rPr>
                <w:color w:val="auto"/>
                <w:sz w:val="24"/>
                <w:highlight w:val="none"/>
              </w:rPr>
              <w:t>，并实现成品从</w:t>
            </w:r>
            <w:r>
              <w:rPr>
                <w:rFonts w:hint="eastAsia"/>
                <w:color w:val="auto"/>
                <w:sz w:val="24"/>
                <w:highlight w:val="none"/>
                <w:lang w:val="en-US" w:eastAsia="zh-CN"/>
              </w:rPr>
              <w:t>卸矿站</w:t>
            </w:r>
            <w:r>
              <w:rPr>
                <w:color w:val="auto"/>
                <w:sz w:val="24"/>
                <w:highlight w:val="none"/>
              </w:rPr>
              <w:t>输送至M8#胶带输送机随之进入东南铜业。另外，为方便灵活操作，本项目同时满足汽车运输进出库的需求，汽车运输委托港口方运行。</w:t>
            </w:r>
          </w:p>
          <w:p>
            <w:pPr>
              <w:spacing w:line="360" w:lineRule="auto"/>
              <w:ind w:firstLine="480" w:firstLineChars="200"/>
              <w:rPr>
                <w:rFonts w:hint="eastAsia"/>
                <w:color w:val="auto"/>
                <w:sz w:val="24"/>
                <w:highlight w:val="none"/>
                <w:lang w:val="en-US" w:eastAsia="zh-CN"/>
              </w:rPr>
            </w:pPr>
            <w:r>
              <w:rPr>
                <w:rFonts w:hint="default"/>
                <w:color w:val="auto"/>
                <w:sz w:val="24"/>
                <w:highlight w:val="none"/>
              </w:rPr>
              <w:t>①</w:t>
            </w:r>
            <w:r>
              <w:rPr>
                <w:rFonts w:hint="eastAsia"/>
                <w:color w:val="auto"/>
                <w:sz w:val="24"/>
                <w:highlight w:val="none"/>
                <w:lang w:val="en-US" w:eastAsia="zh-CN"/>
              </w:rPr>
              <w:t>散货入库</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若来料为散货原矿，则由室外进料管状胶带机送至卸矿站内的</w:t>
            </w:r>
            <w:r>
              <w:rPr>
                <w:rFonts w:hint="default"/>
                <w:color w:val="auto"/>
                <w:sz w:val="24"/>
                <w:highlight w:val="none"/>
                <w:lang w:val="en-US" w:eastAsia="zh-CN"/>
              </w:rPr>
              <w:t>1#胶带输送机S-</w:t>
            </w:r>
            <w:r>
              <w:rPr>
                <w:rFonts w:hint="eastAsia"/>
                <w:color w:val="auto"/>
                <w:sz w:val="24"/>
                <w:highlight w:val="none"/>
                <w:lang w:val="en-US" w:eastAsia="zh-CN"/>
              </w:rPr>
              <w:t>4上，该输送机连通的1#桥式横向布料机</w:t>
            </w:r>
            <w:r>
              <w:rPr>
                <w:rFonts w:hint="default"/>
                <w:color w:val="auto"/>
                <w:sz w:val="24"/>
                <w:highlight w:val="none"/>
                <w:lang w:val="en-US" w:eastAsia="zh-CN"/>
              </w:rPr>
              <w:t>S-</w:t>
            </w:r>
            <w:r>
              <w:rPr>
                <w:rFonts w:hint="eastAsia"/>
                <w:color w:val="auto"/>
                <w:sz w:val="24"/>
                <w:highlight w:val="none"/>
                <w:lang w:val="en-US" w:eastAsia="zh-CN"/>
              </w:rPr>
              <w:t>1可将原矿均匀布料在仓库西北侧的地面堆存区域内。原矿堆存的同时由装载车装载至卸矿站内的运输货车上，货车装满原矿后行驶至站内地磅S-2上称重，称重结束后立刻行驶至仓库东北侧的地面中间料仓S-13前卸料，卸料完成后空车过磅称重后再次行驶至原矿堆存区域装料，如此循环往复。货车内的原矿一部分直接卸料至中间料仓内，一部分则落在地面上，地面上的原矿一部分由人工取样，其余部分由装载车推入中间料仓内。落入料仓内的原矿经料仓下面的6</w:t>
            </w:r>
            <w:r>
              <w:rPr>
                <w:rFonts w:hint="default"/>
                <w:color w:val="auto"/>
                <w:sz w:val="24"/>
                <w:highlight w:val="none"/>
                <w:lang w:val="en-US" w:eastAsia="zh-CN"/>
              </w:rPr>
              <w:t>#胶带输送机</w:t>
            </w:r>
            <w:r>
              <w:rPr>
                <w:rFonts w:hint="eastAsia"/>
                <w:color w:val="auto"/>
                <w:sz w:val="24"/>
                <w:highlight w:val="none"/>
                <w:lang w:val="en-US" w:eastAsia="zh-CN"/>
              </w:rPr>
              <w:t>S-12转运至4#胶带输送机S-10上，最终被送往混矿库内。若进料胶带输送机故障，则原料通过汽车（运输车辆需具备货厢篷布密封功能）运输，采用集装箱或吨袋方式至卸矿站卸货，卸货完毕后经洗轮后返回港口循环转运。</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②</w:t>
            </w:r>
            <w:r>
              <w:rPr>
                <w:rFonts w:hint="eastAsia"/>
                <w:color w:val="auto"/>
                <w:sz w:val="24"/>
                <w:highlight w:val="none"/>
                <w:lang w:val="en-US" w:eastAsia="zh-CN"/>
              </w:rPr>
              <w:t>吨袋入库</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若来料为吨袋原矿，由货车运输至卸矿站后，堆放至吨袋货物存放区域，经卸矿站仓库顶部的葫芦双梁起重机S-8转运至全自动拆包机S-9进行拆包，拆包后的物料落入5#胶带输送机S-11上并转运至4#胶带输送机S-10上，最终被送往混矿库内。</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③集装箱</w:t>
            </w:r>
            <w:r>
              <w:rPr>
                <w:rFonts w:hint="eastAsia"/>
                <w:color w:val="auto"/>
                <w:sz w:val="24"/>
                <w:highlight w:val="none"/>
                <w:lang w:val="en-US" w:eastAsia="zh-CN"/>
              </w:rPr>
              <w:t>入库</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若来料为集装箱装原矿，集装箱车辆进入卸矿站后直接行驶至站内地磅S-2上称重，称重结束后立刻行驶至仓库东北侧的地面中间料仓S-13前卸料，此类原矿依次经中间料仓S-13、6#胶带输送机S-12、4#胶带输送机S-10最终被送往混矿库内。集装箱车辆卸料完后需空车过磅称重后再驶离。</w:t>
            </w:r>
          </w:p>
          <w:p>
            <w:pPr>
              <w:spacing w:line="360" w:lineRule="auto"/>
              <w:ind w:firstLine="480" w:firstLineChars="200"/>
              <w:rPr>
                <w:rFonts w:hint="eastAsia"/>
                <w:color w:val="auto"/>
                <w:sz w:val="24"/>
                <w:highlight w:val="none"/>
              </w:rPr>
            </w:pPr>
            <w:r>
              <w:rPr>
                <w:rFonts w:hint="eastAsia"/>
                <w:color w:val="auto"/>
                <w:sz w:val="24"/>
                <w:highlight w:val="none"/>
              </w:rPr>
              <w:t>同步取样进行检验，检验结果作为混矿方案报批的依据。</w:t>
            </w:r>
          </w:p>
          <w:p>
            <w:pPr>
              <w:spacing w:line="360" w:lineRule="auto"/>
              <w:ind w:firstLine="480" w:firstLineChars="200"/>
              <w:rPr>
                <w:rFonts w:hint="eastAsia"/>
                <w:color w:val="auto"/>
                <w:sz w:val="24"/>
                <w:highlight w:val="none"/>
              </w:rPr>
            </w:pPr>
            <w:r>
              <w:rPr>
                <w:rFonts w:hint="eastAsia"/>
                <w:color w:val="auto"/>
                <w:sz w:val="24"/>
                <w:highlight w:val="none"/>
                <w:lang w:val="en-US" w:eastAsia="zh-CN"/>
              </w:rPr>
              <w:t>任何驶出卸矿站的车辆均需行驶至卸矿站东北侧</w:t>
            </w:r>
            <w:r>
              <w:rPr>
                <w:rFonts w:hint="default"/>
                <w:color w:val="auto"/>
                <w:sz w:val="24"/>
                <w:highlight w:val="none"/>
                <w:lang w:val="en-US" w:eastAsia="zh-CN"/>
              </w:rPr>
              <w:t>出口处</w:t>
            </w:r>
            <w:r>
              <w:rPr>
                <w:rFonts w:hint="eastAsia"/>
                <w:color w:val="auto"/>
                <w:sz w:val="24"/>
                <w:highlight w:val="none"/>
                <w:lang w:val="en-US" w:eastAsia="zh-CN"/>
              </w:rPr>
              <w:t>的洗车机S-3内进行清洗并风干后才能</w:t>
            </w:r>
            <w:r>
              <w:rPr>
                <w:rFonts w:hint="default"/>
                <w:color w:val="auto"/>
                <w:sz w:val="24"/>
                <w:highlight w:val="none"/>
                <w:lang w:val="en-US" w:eastAsia="zh-CN"/>
              </w:rPr>
              <w:t>出库</w:t>
            </w:r>
            <w:r>
              <w:rPr>
                <w:rFonts w:hint="eastAsia"/>
                <w:color w:val="auto"/>
                <w:sz w:val="24"/>
                <w:highlight w:val="none"/>
                <w:lang w:val="en-US" w:eastAsia="zh-CN"/>
              </w:rPr>
              <w:t>。</w:t>
            </w:r>
          </w:p>
          <w:p>
            <w:pPr>
              <w:numPr>
                <w:ilvl w:val="0"/>
                <w:numId w:val="1"/>
              </w:numPr>
              <w:spacing w:line="360" w:lineRule="auto"/>
              <w:ind w:firstLine="480" w:firstLineChars="200"/>
              <w:rPr>
                <w:color w:val="auto"/>
                <w:sz w:val="24"/>
                <w:highlight w:val="none"/>
              </w:rPr>
            </w:pPr>
            <w:r>
              <w:rPr>
                <w:rFonts w:hint="eastAsia"/>
                <w:color w:val="auto"/>
                <w:sz w:val="24"/>
                <w:highlight w:val="none"/>
              </w:rPr>
              <w:t>配料：</w:t>
            </w:r>
            <w:r>
              <w:rPr>
                <w:rFonts w:hint="eastAsia"/>
                <w:color w:val="auto"/>
                <w:sz w:val="24"/>
                <w:highlight w:val="none"/>
                <w:lang w:val="en-US" w:eastAsia="zh-CN"/>
              </w:rPr>
              <w:t>将卸矿站的</w:t>
            </w:r>
            <w:r>
              <w:rPr>
                <w:rFonts w:hint="eastAsia"/>
                <w:color w:val="auto"/>
                <w:sz w:val="24"/>
                <w:highlight w:val="none"/>
                <w:lang w:val="zh-CN" w:eastAsia="zh-CN"/>
              </w:rPr>
              <w:t>原料</w:t>
            </w:r>
            <w:r>
              <w:rPr>
                <w:rFonts w:hint="eastAsia"/>
                <w:color w:val="auto"/>
                <w:sz w:val="24"/>
                <w:highlight w:val="none"/>
                <w:lang w:val="en-US" w:eastAsia="zh-CN"/>
              </w:rPr>
              <w:t>矿(标矿+非标矿)通过S-15皮带廊进料带式输送机(南北向)、S-1进料带式输送机(东西向)、S-3进料带式输送机(南北向)输送至S-6原料矿布料带式输送机(东西向)；然后，通过S-16横向布料机将原料矿(标矿+非标矿)均匀布料至2个非标矿堆放区、4个标矿堆放区，原料矿堆放区的物料通过S-17抓斗桥式起重机根据配矿方案(标矿：非标矿=2：1)抓取对应的标矿/非标矿至S-12中间料仓，再通过S-12中间料仓下的S-11直拖式配料皮带秤按照配矿方案对矿石进行称量后，输送至S-10原料矿带式输送机(东西向)并在S-13圆筒混料机中进行混料</w:t>
            </w:r>
            <w:r>
              <w:rPr>
                <w:rFonts w:hint="eastAsia"/>
                <w:color w:val="auto"/>
                <w:sz w:val="24"/>
                <w:highlight w:val="none"/>
              </w:rPr>
              <w:t>。</w:t>
            </w:r>
          </w:p>
          <w:p>
            <w:pPr>
              <w:spacing w:line="360" w:lineRule="auto"/>
              <w:ind w:firstLine="480" w:firstLineChars="200"/>
              <w:rPr>
                <w:color w:val="auto"/>
                <w:highlight w:val="none"/>
              </w:rPr>
            </w:pPr>
            <w:r>
              <w:rPr>
                <w:rFonts w:hint="eastAsia"/>
                <w:color w:val="auto"/>
                <w:sz w:val="24"/>
                <w:highlight w:val="none"/>
              </w:rPr>
              <w:t>制定混矿方案并报送海关，待海关批准后进行混矿作业。</w:t>
            </w:r>
          </w:p>
          <w:p>
            <w:pPr>
              <w:numPr>
                <w:ilvl w:val="0"/>
                <w:numId w:val="1"/>
              </w:numPr>
              <w:spacing w:line="360" w:lineRule="auto"/>
              <w:ind w:firstLine="480" w:firstLineChars="200"/>
              <w:rPr>
                <w:color w:val="auto"/>
                <w:sz w:val="24"/>
                <w:highlight w:val="none"/>
              </w:rPr>
            </w:pPr>
            <w:r>
              <w:rPr>
                <w:rFonts w:hint="eastAsia"/>
                <w:color w:val="auto"/>
                <w:sz w:val="24"/>
                <w:highlight w:val="none"/>
              </w:rPr>
              <w:t>混矿：铜精矿混矿前，需向海关提交混矿方案，海关审核同意后方可进行混矿作业。配置1台∅3000×1</w:t>
            </w:r>
            <w:r>
              <w:rPr>
                <w:rFonts w:hint="eastAsia"/>
                <w:color w:val="auto"/>
                <w:sz w:val="24"/>
                <w:highlight w:val="none"/>
                <w:lang w:val="en-US" w:eastAsia="zh-CN"/>
              </w:rPr>
              <w:t>2</w:t>
            </w:r>
            <w:r>
              <w:rPr>
                <w:rFonts w:hint="eastAsia"/>
                <w:color w:val="auto"/>
                <w:sz w:val="24"/>
                <w:highlight w:val="none"/>
              </w:rPr>
              <w:t>000mm圆筒混料机，单台生产能力为300t/h，填充率10%左右，功率200kW。圆筒混料机内物料停留时间约为2~3min</w:t>
            </w:r>
            <w:r>
              <w:rPr>
                <w:rFonts w:hint="eastAsia"/>
                <w:color w:val="auto"/>
                <w:sz w:val="24"/>
                <w:highlight w:val="none"/>
                <w:lang w:eastAsia="zh-CN"/>
              </w:rPr>
              <w:t>。</w:t>
            </w:r>
          </w:p>
          <w:p>
            <w:pPr>
              <w:numPr>
                <w:ilvl w:val="0"/>
                <w:numId w:val="1"/>
              </w:numPr>
              <w:spacing w:line="360" w:lineRule="auto"/>
              <w:ind w:firstLine="480" w:firstLineChars="200"/>
              <w:rPr>
                <w:color w:val="auto"/>
                <w:sz w:val="24"/>
                <w:highlight w:val="none"/>
              </w:rPr>
            </w:pPr>
            <w:r>
              <w:rPr>
                <w:rFonts w:hint="eastAsia"/>
                <w:color w:val="auto"/>
                <w:sz w:val="24"/>
                <w:highlight w:val="none"/>
              </w:rPr>
              <w:t>成品铜精矿堆存：</w:t>
            </w:r>
            <w:r>
              <w:rPr>
                <w:rFonts w:hint="eastAsia"/>
                <w:color w:val="auto"/>
                <w:sz w:val="24"/>
                <w:highlight w:val="none"/>
                <w:lang w:val="en-US" w:eastAsia="zh-CN"/>
              </w:rPr>
              <w:t>混料完毕后的成品矿通过S-7混料仓带式输送机(东西向)、S-8混料仓带式输送机(南北向)输送至S-5成品矿布料带式输送机(东西向)；最后，通过S-16横向布料机将成品矿均匀布料至3个成品矿堆放区，成品矿经取样商检和法检后报海关进口并进行海关放射线检测及检验检疫后，利用S-17抓斗桥式起重机抓取至S-12中间料仓并下放到S-11直拖式配料皮带，再次通过S-9成品矿带式输送机(东西向)、S-4出料带式输送机(南北向)、S-2出料带式输送机(东西向)、S-14皮带廊出料带式输送机(南北向)运送至卸矿站。</w:t>
            </w:r>
          </w:p>
          <w:p>
            <w:pPr>
              <w:spacing w:line="360" w:lineRule="auto"/>
              <w:ind w:firstLine="480" w:firstLineChars="200"/>
              <w:rPr>
                <w:color w:val="auto"/>
                <w:sz w:val="24"/>
                <w:highlight w:val="none"/>
              </w:rPr>
            </w:pPr>
            <w:r>
              <w:rPr>
                <w:rFonts w:hint="eastAsia"/>
                <w:color w:val="auto"/>
                <w:sz w:val="24"/>
                <w:highlight w:val="none"/>
              </w:rPr>
              <w:t>若混匀成品经检验检测未达到合格产品要求，可将不合格品重新输送至配料系统，进入混矿流程重新混匀，重新混矿前，需向海关提交混矿方案，海关审核同意后方可进行混矿作业。</w:t>
            </w:r>
          </w:p>
          <w:p>
            <w:pPr>
              <w:numPr>
                <w:ilvl w:val="0"/>
                <w:numId w:val="1"/>
              </w:numPr>
              <w:spacing w:line="360" w:lineRule="auto"/>
              <w:ind w:firstLine="480" w:firstLineChars="200"/>
              <w:rPr>
                <w:color w:val="auto"/>
                <w:sz w:val="24"/>
                <w:highlight w:val="none"/>
              </w:rPr>
            </w:pPr>
            <w:r>
              <w:rPr>
                <w:rFonts w:hint="eastAsia"/>
                <w:color w:val="auto"/>
                <w:sz w:val="24"/>
                <w:highlight w:val="none"/>
              </w:rPr>
              <w:t>成品出库</w:t>
            </w:r>
          </w:p>
          <w:p>
            <w:pPr>
              <w:spacing w:line="360" w:lineRule="auto"/>
              <w:ind w:firstLine="480" w:firstLineChars="200"/>
              <w:rPr>
                <w:color w:val="auto"/>
                <w:sz w:val="24"/>
                <w:highlight w:val="none"/>
              </w:rPr>
            </w:pPr>
            <w:r>
              <w:rPr>
                <w:rFonts w:hint="eastAsia"/>
                <w:color w:val="auto"/>
                <w:sz w:val="24"/>
                <w:highlight w:val="none"/>
                <w:lang w:val="en-US" w:eastAsia="zh-CN"/>
              </w:rPr>
              <w:t>成品矿经皮带运输由混矿库送入卸矿站内的3#胶带输送机S-7上。该输送机连通的2#桥式横向布料机S-6可将成品矿均匀布料在仓库西南侧的地面堆存区域内。成品矿堆存的同时由装载车装载至卸矿站内的运输货车上，货车装满成品矿后行驶至站内地磅S-14上称重，称重结束后立刻行驶至仓库东侧中部的地面中间料仓S-13前卸料，卸料完成后空车过磅称重后再次行驶至成品矿堆存区域装料，如此循环往复。货车内的成品矿一部分直接卸料至中间料仓内，一部分则落在地面上，地面上的成品矿一部分由人工取样，其余部分被装载车推入中间料仓内。落入料仓内的成品矿经料仓下面的6#胶带输送机S-12转运至2#胶带输送机S-5上，再由该输送机落料至室外出料管状胶带机中，最终被运送至铜冶炼基地</w:t>
            </w:r>
            <w:r>
              <w:rPr>
                <w:rFonts w:hint="eastAsia"/>
                <w:color w:val="auto"/>
                <w:sz w:val="24"/>
                <w:highlight w:val="none"/>
              </w:rPr>
              <w:t>。</w:t>
            </w:r>
            <w:r>
              <w:rPr>
                <w:rFonts w:hint="eastAsia"/>
                <w:color w:val="auto"/>
                <w:sz w:val="24"/>
                <w:highlight w:val="none"/>
                <w:lang w:val="en-US" w:eastAsia="zh-CN"/>
              </w:rPr>
              <w:t>若室外出料胶带输送机故障，则原料通过汽车（运输车辆需具备货厢篷布密封功能）运输至用矿需求冶炼厂。</w:t>
            </w:r>
          </w:p>
          <w:p>
            <w:pPr>
              <w:spacing w:line="360" w:lineRule="auto"/>
              <w:ind w:firstLine="480" w:firstLineChars="200"/>
              <w:rPr>
                <w:color w:val="auto"/>
                <w:sz w:val="24"/>
                <w:highlight w:val="none"/>
              </w:rPr>
            </w:pPr>
            <w:r>
              <w:rPr>
                <w:rFonts w:hint="eastAsia"/>
                <w:color w:val="auto"/>
                <w:sz w:val="24"/>
                <w:highlight w:val="none"/>
                <w:lang w:val="en-US" w:eastAsia="zh-CN"/>
              </w:rPr>
              <w:t>任何驶出卸矿站的车辆均需行驶至卸矿站东北侧出口处的洗车机S-3内进行清洗并风干后才能出库。洗车水、洗轮水经处理后进行循环利用，过程中回收其中的铜精矿。原矿、成品库进出料过程中，在各落料口处设置干雾抑尘或集尘罩等有效措施来控制扬尘</w:t>
            </w:r>
            <w:r>
              <w:rPr>
                <w:rFonts w:hint="eastAsia"/>
                <w:color w:val="auto"/>
                <w:sz w:val="24"/>
                <w:highlight w:val="none"/>
              </w:rPr>
              <w:t>。</w:t>
            </w:r>
          </w:p>
          <w:p>
            <w:pPr>
              <w:spacing w:line="360" w:lineRule="auto"/>
              <w:ind w:firstLine="482" w:firstLineChars="200"/>
              <w:rPr>
                <w:rFonts w:hint="eastAsia" w:ascii="Times New Roman" w:hAnsi="Times New Roman" w:eastAsia="宋体" w:cs="Times New Roman"/>
                <w:b/>
                <w:bCs/>
                <w:color w:val="auto"/>
                <w:sz w:val="24"/>
                <w:highlight w:val="none"/>
              </w:rPr>
            </w:pPr>
            <w:r>
              <w:rPr>
                <w:rFonts w:hint="eastAsia" w:ascii="Times New Roman" w:hAnsi="Times New Roman" w:eastAsia="宋体" w:cs="Times New Roman"/>
                <w:b/>
                <w:bCs/>
                <w:color w:val="auto"/>
                <w:sz w:val="24"/>
                <w:highlight w:val="none"/>
              </w:rPr>
              <w:t>2.制样检测</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取样包括人工取样和自动取样。受限于与外商的商务结算强制要求，进口铜精矿运输至装卸站后，通过人工取样后再运输至混矿库的原料仓内堆存；成品采用自动取样，在圆筒混料机后端的胶带输送机上设置自动取样机，定时取样。</w:t>
            </w:r>
          </w:p>
          <w:p>
            <w:pPr>
              <w:spacing w:line="360" w:lineRule="auto"/>
              <w:ind w:firstLine="480" w:firstLineChars="200"/>
              <w:rPr>
                <w:color w:val="auto"/>
                <w:sz w:val="24"/>
                <w:highlight w:val="none"/>
              </w:rPr>
            </w:pPr>
            <w:r>
              <w:rPr>
                <w:rFonts w:hint="eastAsia"/>
                <w:color w:val="auto"/>
                <w:sz w:val="24"/>
                <w:highlight w:val="none"/>
                <w:lang w:val="en-US" w:eastAsia="zh-CN"/>
              </w:rPr>
              <w:t>混矿库G-K轴</w:t>
            </w:r>
            <w:r>
              <w:rPr>
                <w:rFonts w:hint="eastAsia"/>
                <w:color w:val="auto"/>
                <w:sz w:val="24"/>
                <w:highlight w:val="none"/>
              </w:rPr>
              <w:t>设置有1间制样室，取样后送至制样室制样，用于对每批原料、产品进行采样烘干、磨细，同时可测原料、成品中的水分。制样后外送有资质单位进行检测。制样过程可能不定期产生微量粉尘，设局部排风罩，选用滤筒净化一体机，平时根据情况开启。</w:t>
            </w:r>
          </w:p>
          <w:p>
            <w:pPr>
              <w:spacing w:line="360" w:lineRule="auto"/>
              <w:ind w:firstLine="480" w:firstLineChars="200"/>
              <w:rPr>
                <w:color w:val="auto"/>
                <w:sz w:val="24"/>
                <w:highlight w:val="none"/>
              </w:rPr>
            </w:pPr>
            <w:r>
              <w:rPr>
                <w:rFonts w:hint="eastAsia"/>
                <w:color w:val="auto"/>
                <w:sz w:val="24"/>
                <w:highlight w:val="none"/>
              </w:rPr>
              <w:t>铜精矿是法检产品，实行矿源备案制，以确保矿源选择受控。项目对每批次的原料、产品进行抽样检测，委托有资质的检测单位开展检测工作。</w:t>
            </w:r>
          </w:p>
          <w:p>
            <w:pPr>
              <w:spacing w:line="360" w:lineRule="auto"/>
              <w:ind w:firstLine="482" w:firstLineChars="200"/>
              <w:rPr>
                <w:b/>
                <w:bCs/>
                <w:color w:val="auto"/>
                <w:sz w:val="24"/>
                <w:highlight w:val="none"/>
              </w:rPr>
            </w:pPr>
            <w:r>
              <w:rPr>
                <w:rFonts w:hint="eastAsia"/>
                <w:b/>
                <w:bCs/>
                <w:color w:val="auto"/>
                <w:sz w:val="24"/>
                <w:highlight w:val="none"/>
              </w:rPr>
              <w:t>（1）铜精矿入库前：“第一次申报、第一段准入”。</w:t>
            </w:r>
          </w:p>
          <w:p>
            <w:pPr>
              <w:spacing w:line="360" w:lineRule="auto"/>
              <w:ind w:firstLine="480" w:firstLineChars="200"/>
              <w:rPr>
                <w:color w:val="auto"/>
                <w:sz w:val="24"/>
                <w:highlight w:val="none"/>
              </w:rPr>
            </w:pPr>
            <w:r>
              <w:rPr>
                <w:rFonts w:hint="eastAsia"/>
                <w:color w:val="auto"/>
                <w:sz w:val="24"/>
                <w:highlight w:val="none"/>
              </w:rPr>
              <w:t>1）试点获批后，企业将原料矿山近期半年内代表性样本的认可实验室提供的检验报告报海关备案审核；</w:t>
            </w:r>
          </w:p>
          <w:p>
            <w:pPr>
              <w:spacing w:line="360" w:lineRule="auto"/>
              <w:ind w:firstLine="480" w:firstLineChars="200"/>
              <w:rPr>
                <w:color w:val="auto"/>
                <w:sz w:val="24"/>
                <w:highlight w:val="none"/>
              </w:rPr>
            </w:pPr>
            <w:r>
              <w:rPr>
                <w:rFonts w:hint="eastAsia"/>
                <w:color w:val="auto"/>
                <w:sz w:val="24"/>
                <w:highlight w:val="none"/>
              </w:rPr>
              <w:t>2）审核通过后，企业与境外供货商签订采购合同，并根据预计到货时间编排混矿时间计划；</w:t>
            </w:r>
          </w:p>
          <w:p>
            <w:pPr>
              <w:spacing w:line="360" w:lineRule="auto"/>
              <w:ind w:firstLine="480" w:firstLineChars="200"/>
              <w:rPr>
                <w:color w:val="auto"/>
                <w:sz w:val="24"/>
                <w:highlight w:val="none"/>
              </w:rPr>
            </w:pPr>
            <w:r>
              <w:rPr>
                <w:rFonts w:hint="eastAsia"/>
                <w:color w:val="auto"/>
                <w:sz w:val="24"/>
                <w:highlight w:val="none"/>
              </w:rPr>
              <w:t>3）境外供货商发货，经海运至福州港三都澳港区漳湾作业区靠泊；</w:t>
            </w:r>
          </w:p>
          <w:p>
            <w:pPr>
              <w:spacing w:line="360" w:lineRule="auto"/>
              <w:ind w:firstLine="480" w:firstLineChars="200"/>
              <w:rPr>
                <w:color w:val="auto"/>
                <w:sz w:val="24"/>
                <w:highlight w:val="none"/>
              </w:rPr>
            </w:pPr>
            <w:r>
              <w:rPr>
                <w:rFonts w:hint="eastAsia"/>
                <w:color w:val="auto"/>
                <w:sz w:val="24"/>
                <w:highlight w:val="none"/>
              </w:rPr>
              <w:t>4）向海关申报登记备案，进行铜精矿固废和放射性检验；</w:t>
            </w:r>
          </w:p>
          <w:p>
            <w:pPr>
              <w:spacing w:line="360" w:lineRule="auto"/>
              <w:ind w:firstLine="480" w:firstLineChars="200"/>
              <w:rPr>
                <w:color w:val="auto"/>
                <w:sz w:val="24"/>
                <w:highlight w:val="none"/>
              </w:rPr>
            </w:pPr>
            <w:r>
              <w:rPr>
                <w:rFonts w:hint="eastAsia"/>
                <w:color w:val="auto"/>
                <w:sz w:val="24"/>
                <w:highlight w:val="none"/>
              </w:rPr>
              <w:t>5）固废和放射性检验通过后，铜精矿通过皮带输送或封闭汽运至车间。</w:t>
            </w:r>
          </w:p>
          <w:p>
            <w:pPr>
              <w:spacing w:line="360" w:lineRule="auto"/>
              <w:ind w:firstLine="482" w:firstLineChars="200"/>
              <w:rPr>
                <w:b/>
                <w:bCs/>
                <w:color w:val="auto"/>
                <w:sz w:val="24"/>
                <w:highlight w:val="none"/>
              </w:rPr>
            </w:pPr>
            <w:r>
              <w:rPr>
                <w:rFonts w:hint="eastAsia"/>
                <w:b/>
                <w:bCs/>
                <w:color w:val="auto"/>
                <w:sz w:val="24"/>
                <w:highlight w:val="none"/>
              </w:rPr>
              <w:t>（2）铜精矿入库后：封闭作业、联合监管。</w:t>
            </w:r>
          </w:p>
          <w:p>
            <w:pPr>
              <w:spacing w:line="360" w:lineRule="auto"/>
              <w:ind w:firstLine="480" w:firstLineChars="200"/>
              <w:rPr>
                <w:color w:val="auto"/>
                <w:sz w:val="24"/>
                <w:highlight w:val="none"/>
              </w:rPr>
            </w:pPr>
            <w:r>
              <w:rPr>
                <w:rFonts w:hint="eastAsia"/>
                <w:color w:val="auto"/>
                <w:sz w:val="24"/>
                <w:highlight w:val="none"/>
              </w:rPr>
              <w:t>1）铜精矿运至车间后，检测机构进场开展采制样，出具品质检验报告后，企业与境外供货商进行品质交换和办理结算；</w:t>
            </w:r>
          </w:p>
          <w:p>
            <w:pPr>
              <w:spacing w:line="360" w:lineRule="auto"/>
              <w:ind w:firstLine="480" w:firstLineChars="200"/>
              <w:rPr>
                <w:color w:val="auto"/>
                <w:sz w:val="24"/>
                <w:highlight w:val="none"/>
              </w:rPr>
            </w:pPr>
            <w:r>
              <w:rPr>
                <w:rFonts w:hint="eastAsia"/>
                <w:color w:val="auto"/>
                <w:sz w:val="24"/>
                <w:highlight w:val="none"/>
              </w:rPr>
              <w:t>2）企业提交品质检验报告和混矿方案；</w:t>
            </w:r>
          </w:p>
          <w:p>
            <w:pPr>
              <w:spacing w:line="360" w:lineRule="auto"/>
              <w:ind w:firstLine="480" w:firstLineChars="200"/>
              <w:rPr>
                <w:color w:val="auto"/>
                <w:sz w:val="24"/>
                <w:highlight w:val="none"/>
              </w:rPr>
            </w:pPr>
            <w:r>
              <w:rPr>
                <w:rFonts w:hint="eastAsia"/>
                <w:color w:val="auto"/>
                <w:sz w:val="24"/>
                <w:highlight w:val="none"/>
              </w:rPr>
              <w:t>3）铜精矿按品质分区堆存；</w:t>
            </w:r>
          </w:p>
          <w:p>
            <w:pPr>
              <w:spacing w:line="360" w:lineRule="auto"/>
              <w:ind w:firstLine="480" w:firstLineChars="200"/>
              <w:rPr>
                <w:color w:val="auto"/>
                <w:sz w:val="24"/>
                <w:highlight w:val="none"/>
              </w:rPr>
            </w:pPr>
            <w:r>
              <w:rPr>
                <w:rFonts w:hint="eastAsia"/>
                <w:color w:val="auto"/>
                <w:sz w:val="24"/>
                <w:highlight w:val="none"/>
              </w:rPr>
              <w:t>4）根据混矿方案进行混矿；</w:t>
            </w:r>
          </w:p>
          <w:p>
            <w:pPr>
              <w:spacing w:line="360" w:lineRule="auto"/>
              <w:ind w:firstLine="480" w:firstLineChars="200"/>
              <w:rPr>
                <w:color w:val="auto"/>
                <w:sz w:val="24"/>
                <w:highlight w:val="none"/>
              </w:rPr>
            </w:pPr>
            <w:r>
              <w:rPr>
                <w:rFonts w:hint="eastAsia"/>
                <w:color w:val="auto"/>
                <w:sz w:val="24"/>
                <w:highlight w:val="none"/>
              </w:rPr>
              <w:t>5）混矿过程中，相关部门跟踪监管。</w:t>
            </w:r>
          </w:p>
          <w:p>
            <w:pPr>
              <w:spacing w:line="360" w:lineRule="auto"/>
              <w:ind w:firstLine="482" w:firstLineChars="200"/>
              <w:rPr>
                <w:b/>
                <w:bCs/>
                <w:color w:val="auto"/>
                <w:sz w:val="24"/>
                <w:highlight w:val="none"/>
              </w:rPr>
            </w:pPr>
            <w:r>
              <w:rPr>
                <w:rFonts w:hint="eastAsia"/>
                <w:b/>
                <w:bCs/>
                <w:color w:val="auto"/>
                <w:sz w:val="24"/>
                <w:highlight w:val="none"/>
              </w:rPr>
              <w:t>（3）铜精矿出库前：“第二次申报、第二段准入”。</w:t>
            </w:r>
          </w:p>
          <w:p>
            <w:pPr>
              <w:spacing w:line="360" w:lineRule="auto"/>
              <w:ind w:firstLine="480" w:firstLineChars="200"/>
              <w:rPr>
                <w:color w:val="auto"/>
                <w:sz w:val="24"/>
                <w:highlight w:val="none"/>
              </w:rPr>
            </w:pPr>
            <w:r>
              <w:rPr>
                <w:rFonts w:hint="eastAsia"/>
                <w:color w:val="auto"/>
                <w:sz w:val="24"/>
                <w:highlight w:val="none"/>
              </w:rPr>
              <w:t>1）进行第一次混配后，检测机构进场开展二次采样检验，出具二次品质检验报告；</w:t>
            </w:r>
          </w:p>
          <w:p>
            <w:pPr>
              <w:spacing w:line="360" w:lineRule="auto"/>
              <w:ind w:firstLine="480" w:firstLineChars="200"/>
              <w:rPr>
                <w:color w:val="auto"/>
                <w:sz w:val="24"/>
                <w:highlight w:val="none"/>
              </w:rPr>
            </w:pPr>
            <w:r>
              <w:rPr>
                <w:rFonts w:hint="eastAsia"/>
                <w:color w:val="auto"/>
                <w:sz w:val="24"/>
                <w:highlight w:val="none"/>
              </w:rPr>
              <w:t>2）二次检验的铅、砷等五项有害元素含量不合格，则由企业进行二次混配，直至五项有害元素取样检测合格；</w:t>
            </w:r>
          </w:p>
          <w:p>
            <w:pPr>
              <w:spacing w:line="360" w:lineRule="auto"/>
              <w:ind w:firstLine="480" w:firstLineChars="200"/>
              <w:rPr>
                <w:color w:val="auto"/>
                <w:sz w:val="24"/>
                <w:highlight w:val="none"/>
              </w:rPr>
            </w:pPr>
            <w:r>
              <w:rPr>
                <w:rFonts w:hint="eastAsia"/>
                <w:color w:val="auto"/>
                <w:sz w:val="24"/>
                <w:highlight w:val="none"/>
              </w:rPr>
              <w:t>3）检验的铅、砷等五项有害元素含量合格后，企业向海关进行出库申报，经海关检验合格并办完清关手续后，准许企业将混矿产品出库。</w:t>
            </w:r>
          </w:p>
          <w:p>
            <w:pPr>
              <w:pStyle w:val="42"/>
              <w:tabs>
                <w:tab w:val="left" w:pos="0"/>
              </w:tabs>
              <w:rPr>
                <w:color w:val="auto"/>
                <w:highlight w:val="none"/>
              </w:rPr>
            </w:pPr>
            <w:r>
              <w:rPr>
                <w:rFonts w:hint="eastAsia"/>
                <w:color w:val="auto"/>
                <w:highlight w:val="none"/>
              </w:rPr>
              <w:t xml:space="preserve">2.2.2.2 产污环节 </w:t>
            </w:r>
          </w:p>
          <w:p>
            <w:pPr>
              <w:adjustRightInd w:val="0"/>
              <w:snapToGrid w:val="0"/>
              <w:spacing w:line="360" w:lineRule="auto"/>
              <w:ind w:firstLine="480" w:firstLineChars="200"/>
              <w:rPr>
                <w:color w:val="auto"/>
                <w:kern w:val="0"/>
                <w:sz w:val="24"/>
                <w:highlight w:val="none"/>
              </w:rPr>
            </w:pPr>
            <w:r>
              <w:rPr>
                <w:rFonts w:hint="eastAsia"/>
                <w:color w:val="auto"/>
                <w:kern w:val="0"/>
                <w:sz w:val="24"/>
                <w:highlight w:val="none"/>
              </w:rPr>
              <w:t>根据上述工艺流程分析可得，本项目产污环节详见表2.2.3：</w:t>
            </w:r>
          </w:p>
          <w:p>
            <w:pPr>
              <w:pStyle w:val="33"/>
              <w:rPr>
                <w:color w:val="auto"/>
                <w:highlight w:val="none"/>
              </w:rPr>
            </w:pPr>
            <w:r>
              <w:rPr>
                <w:rFonts w:hint="eastAsia"/>
                <w:color w:val="auto"/>
                <w:highlight w:val="none"/>
              </w:rPr>
              <w:t>表2.2.3  项目产污环节一览表</w:t>
            </w:r>
          </w:p>
          <w:tbl>
            <w:tblPr>
              <w:tblStyle w:val="20"/>
              <w:tblW w:w="886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26"/>
              <w:gridCol w:w="1055"/>
              <w:gridCol w:w="2152"/>
              <w:gridCol w:w="2033"/>
              <w:gridCol w:w="32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1481" w:type="dxa"/>
                  <w:gridSpan w:val="2"/>
                  <w:vAlign w:val="center"/>
                </w:tcPr>
                <w:p>
                  <w:pPr>
                    <w:pStyle w:val="63"/>
                    <w:rPr>
                      <w:color w:val="auto"/>
                      <w:highlight w:val="none"/>
                    </w:rPr>
                  </w:pPr>
                  <w:r>
                    <w:rPr>
                      <w:rFonts w:hint="eastAsia"/>
                      <w:color w:val="auto"/>
                      <w:highlight w:val="none"/>
                    </w:rPr>
                    <w:t>类别</w:t>
                  </w:r>
                </w:p>
              </w:tc>
              <w:tc>
                <w:tcPr>
                  <w:tcW w:w="2152" w:type="dxa"/>
                  <w:vAlign w:val="center"/>
                </w:tcPr>
                <w:p>
                  <w:pPr>
                    <w:pStyle w:val="63"/>
                    <w:rPr>
                      <w:color w:val="auto"/>
                      <w:highlight w:val="none"/>
                    </w:rPr>
                  </w:pPr>
                  <w:r>
                    <w:rPr>
                      <w:rFonts w:hint="eastAsia"/>
                      <w:color w:val="auto"/>
                      <w:highlight w:val="none"/>
                    </w:rPr>
                    <w:t>产污环节</w:t>
                  </w:r>
                </w:p>
              </w:tc>
              <w:tc>
                <w:tcPr>
                  <w:tcW w:w="2033" w:type="dxa"/>
                  <w:vAlign w:val="center"/>
                </w:tcPr>
                <w:p>
                  <w:pPr>
                    <w:pStyle w:val="63"/>
                    <w:rPr>
                      <w:color w:val="auto"/>
                      <w:highlight w:val="none"/>
                    </w:rPr>
                  </w:pPr>
                  <w:r>
                    <w:rPr>
                      <w:rFonts w:hint="eastAsia"/>
                      <w:color w:val="auto"/>
                      <w:highlight w:val="none"/>
                    </w:rPr>
                    <w:t>污染因子</w:t>
                  </w:r>
                </w:p>
              </w:tc>
              <w:tc>
                <w:tcPr>
                  <w:tcW w:w="3202" w:type="dxa"/>
                  <w:tcBorders>
                    <w:left w:val="single" w:color="auto" w:sz="4" w:space="0"/>
                  </w:tcBorders>
                  <w:vAlign w:val="center"/>
                </w:tcPr>
                <w:p>
                  <w:pPr>
                    <w:pStyle w:val="63"/>
                    <w:rPr>
                      <w:color w:val="auto"/>
                      <w:highlight w:val="none"/>
                    </w:rPr>
                  </w:pPr>
                  <w:r>
                    <w:rPr>
                      <w:rFonts w:hint="eastAsia"/>
                      <w:color w:val="auto"/>
                      <w:highlight w:val="none"/>
                    </w:rPr>
                    <w:t>去向</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81" w:type="dxa"/>
                  <w:gridSpan w:val="2"/>
                  <w:vMerge w:val="restart"/>
                  <w:vAlign w:val="center"/>
                </w:tcPr>
                <w:p>
                  <w:pPr>
                    <w:pStyle w:val="63"/>
                    <w:rPr>
                      <w:color w:val="auto"/>
                      <w:highlight w:val="none"/>
                    </w:rPr>
                  </w:pPr>
                  <w:r>
                    <w:rPr>
                      <w:rFonts w:hint="eastAsia"/>
                      <w:color w:val="auto"/>
                      <w:highlight w:val="none"/>
                    </w:rPr>
                    <w:t>废水</w:t>
                  </w:r>
                </w:p>
              </w:tc>
              <w:tc>
                <w:tcPr>
                  <w:tcW w:w="2152" w:type="dxa"/>
                  <w:vAlign w:val="center"/>
                </w:tcPr>
                <w:p>
                  <w:pPr>
                    <w:pStyle w:val="63"/>
                    <w:rPr>
                      <w:color w:val="auto"/>
                      <w:highlight w:val="none"/>
                    </w:rPr>
                  </w:pPr>
                  <w:r>
                    <w:rPr>
                      <w:rFonts w:hint="eastAsia"/>
                      <w:color w:val="auto"/>
                      <w:highlight w:val="none"/>
                    </w:rPr>
                    <w:t>洗车</w:t>
                  </w:r>
                  <w:r>
                    <w:rPr>
                      <w:color w:val="auto"/>
                      <w:highlight w:val="none"/>
                    </w:rPr>
                    <w:t>废水</w:t>
                  </w:r>
                </w:p>
              </w:tc>
              <w:tc>
                <w:tcPr>
                  <w:tcW w:w="2033" w:type="dxa"/>
                  <w:vMerge w:val="restart"/>
                  <w:vAlign w:val="center"/>
                </w:tcPr>
                <w:p>
                  <w:pPr>
                    <w:pStyle w:val="63"/>
                    <w:jc w:val="left"/>
                    <w:rPr>
                      <w:color w:val="auto"/>
                      <w:highlight w:val="none"/>
                    </w:rPr>
                  </w:pPr>
                  <w:r>
                    <w:rPr>
                      <w:rFonts w:hint="eastAsia"/>
                      <w:color w:val="auto"/>
                      <w:highlight w:val="none"/>
                    </w:rPr>
                    <w:t>SS、铜、砷、铅</w:t>
                  </w:r>
                  <w:r>
                    <w:rPr>
                      <w:rStyle w:val="25"/>
                      <w:rFonts w:hint="eastAsia"/>
                      <w:color w:val="auto"/>
                      <w:szCs w:val="24"/>
                      <w:highlight w:val="none"/>
                      <w:lang w:eastAsia="zh-CN"/>
                    </w:rPr>
                    <w:t>、</w:t>
                  </w:r>
                  <w:r>
                    <w:rPr>
                      <w:rFonts w:hint="eastAsia"/>
                      <w:color w:val="auto"/>
                      <w:highlight w:val="none"/>
                    </w:rPr>
                    <w:t>镉、汞、</w:t>
                  </w:r>
                  <w:r>
                    <w:rPr>
                      <w:rFonts w:hint="eastAsia"/>
                      <w:color w:val="auto"/>
                      <w:highlight w:val="none"/>
                      <w:lang w:val="en-US" w:eastAsia="zh-CN"/>
                    </w:rPr>
                    <w:t>氟化物</w:t>
                  </w:r>
                  <w:r>
                    <w:rPr>
                      <w:rFonts w:hint="eastAsia"/>
                      <w:color w:val="auto"/>
                      <w:highlight w:val="none"/>
                    </w:rPr>
                    <w:t>等</w:t>
                  </w:r>
                </w:p>
              </w:tc>
              <w:tc>
                <w:tcPr>
                  <w:tcW w:w="3202" w:type="dxa"/>
                  <w:vMerge w:val="restart"/>
                  <w:tcBorders>
                    <w:left w:val="single" w:color="auto" w:sz="4" w:space="0"/>
                  </w:tcBorders>
                  <w:vAlign w:val="center"/>
                </w:tcPr>
                <w:p>
                  <w:pPr>
                    <w:pStyle w:val="63"/>
                    <w:rPr>
                      <w:color w:val="auto"/>
                      <w:highlight w:val="none"/>
                    </w:rPr>
                  </w:pPr>
                  <w:r>
                    <w:rPr>
                      <w:rFonts w:hint="eastAsia"/>
                      <w:color w:val="auto"/>
                      <w:highlight w:val="none"/>
                    </w:rPr>
                    <w:t>沉淀池沉淀过滤后回用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洗手废水</w:t>
                  </w:r>
                </w:p>
              </w:tc>
              <w:tc>
                <w:tcPr>
                  <w:tcW w:w="2033" w:type="dxa"/>
                  <w:vMerge w:val="continue"/>
                  <w:vAlign w:val="center"/>
                </w:tcPr>
                <w:p>
                  <w:pPr>
                    <w:jc w:val="left"/>
                    <w:rPr>
                      <w:color w:val="auto"/>
                      <w:szCs w:val="21"/>
                      <w:highlight w:val="none"/>
                    </w:rPr>
                  </w:pPr>
                </w:p>
              </w:tc>
              <w:tc>
                <w:tcPr>
                  <w:tcW w:w="3202" w:type="dxa"/>
                  <w:vMerge w:val="continue"/>
                  <w:tcBorders>
                    <w:left w:val="single" w:color="auto" w:sz="4" w:space="0"/>
                  </w:tcBorders>
                  <w:vAlign w:val="center"/>
                </w:tcPr>
                <w:p>
                  <w:pPr>
                    <w:pStyle w:val="6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8"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地面清洗废水</w:t>
                  </w:r>
                </w:p>
              </w:tc>
              <w:tc>
                <w:tcPr>
                  <w:tcW w:w="2033" w:type="dxa"/>
                  <w:vMerge w:val="continue"/>
                  <w:vAlign w:val="center"/>
                </w:tcPr>
                <w:p>
                  <w:pPr>
                    <w:jc w:val="left"/>
                    <w:rPr>
                      <w:color w:val="auto"/>
                      <w:highlight w:val="none"/>
                    </w:rPr>
                  </w:pPr>
                </w:p>
              </w:tc>
              <w:tc>
                <w:tcPr>
                  <w:tcW w:w="3202" w:type="dxa"/>
                  <w:vMerge w:val="continue"/>
                  <w:tcBorders>
                    <w:left w:val="single" w:color="auto" w:sz="4" w:space="0"/>
                  </w:tcBorders>
                  <w:vAlign w:val="center"/>
                </w:tcPr>
                <w:p>
                  <w:pPr>
                    <w:pStyle w:val="6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初期雨水</w:t>
                  </w:r>
                </w:p>
              </w:tc>
              <w:tc>
                <w:tcPr>
                  <w:tcW w:w="2033" w:type="dxa"/>
                  <w:vAlign w:val="center"/>
                </w:tcPr>
                <w:p>
                  <w:pPr>
                    <w:jc w:val="center"/>
                    <w:rPr>
                      <w:rFonts w:hint="default"/>
                      <w:color w:val="auto"/>
                      <w:highlight w:val="none"/>
                      <w:lang w:val="en-US"/>
                    </w:rPr>
                  </w:pPr>
                  <w:r>
                    <w:rPr>
                      <w:rFonts w:hint="eastAsia"/>
                      <w:color w:val="auto"/>
                      <w:highlight w:val="none"/>
                    </w:rPr>
                    <w:t>pH、COD、BOD</w:t>
                  </w:r>
                  <w:r>
                    <w:rPr>
                      <w:rFonts w:hint="eastAsia"/>
                      <w:color w:val="auto"/>
                      <w:highlight w:val="none"/>
                      <w:vertAlign w:val="subscript"/>
                    </w:rPr>
                    <w:t>5</w:t>
                  </w:r>
                  <w:r>
                    <w:rPr>
                      <w:rFonts w:hint="eastAsia"/>
                      <w:color w:val="auto"/>
                      <w:highlight w:val="none"/>
                    </w:rPr>
                    <w:t>、悬浮物、石油类</w:t>
                  </w:r>
                  <w:r>
                    <w:rPr>
                      <w:rFonts w:hint="eastAsia"/>
                      <w:color w:val="auto"/>
                      <w:highlight w:val="none"/>
                      <w:lang w:eastAsia="zh-CN"/>
                    </w:rPr>
                    <w:t>、</w:t>
                  </w:r>
                  <w:r>
                    <w:rPr>
                      <w:rFonts w:hint="eastAsia"/>
                      <w:color w:val="auto"/>
                      <w:highlight w:val="none"/>
                    </w:rPr>
                    <w:t>铜、砷、铅</w:t>
                  </w:r>
                  <w:r>
                    <w:rPr>
                      <w:rStyle w:val="25"/>
                      <w:rFonts w:hint="eastAsia"/>
                      <w:color w:val="auto"/>
                      <w:szCs w:val="24"/>
                      <w:highlight w:val="none"/>
                      <w:lang w:eastAsia="zh-CN"/>
                    </w:rPr>
                    <w:t>、</w:t>
                  </w:r>
                  <w:r>
                    <w:rPr>
                      <w:rFonts w:hint="eastAsia"/>
                      <w:color w:val="auto"/>
                      <w:highlight w:val="none"/>
                    </w:rPr>
                    <w:t>镉、汞、</w:t>
                  </w:r>
                  <w:r>
                    <w:rPr>
                      <w:rFonts w:hint="eastAsia"/>
                      <w:color w:val="auto"/>
                      <w:highlight w:val="none"/>
                      <w:lang w:val="en-US" w:eastAsia="zh-CN"/>
                    </w:rPr>
                    <w:t>氟化物等</w:t>
                  </w:r>
                </w:p>
              </w:tc>
              <w:tc>
                <w:tcPr>
                  <w:tcW w:w="3202" w:type="dxa"/>
                  <w:tcBorders>
                    <w:left w:val="single" w:color="auto" w:sz="4" w:space="0"/>
                  </w:tcBorders>
                  <w:vAlign w:val="center"/>
                </w:tcPr>
                <w:p>
                  <w:pPr>
                    <w:pStyle w:val="63"/>
                    <w:rPr>
                      <w:color w:val="auto"/>
                      <w:highlight w:val="none"/>
                    </w:rPr>
                  </w:pPr>
                  <w:r>
                    <w:rPr>
                      <w:rFonts w:hint="eastAsia"/>
                      <w:color w:val="auto"/>
                      <w:highlight w:val="none"/>
                    </w:rPr>
                    <w:t>经沉淀池处理后，回用作洒水抑尘用水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3"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生活污水</w:t>
                  </w:r>
                </w:p>
              </w:tc>
              <w:tc>
                <w:tcPr>
                  <w:tcW w:w="2033" w:type="dxa"/>
                  <w:vAlign w:val="center"/>
                </w:tcPr>
                <w:p>
                  <w:pPr>
                    <w:pStyle w:val="63"/>
                    <w:rPr>
                      <w:color w:val="auto"/>
                      <w:highlight w:val="none"/>
                    </w:rPr>
                  </w:pPr>
                  <w:r>
                    <w:rPr>
                      <w:rFonts w:hint="eastAsia"/>
                      <w:color w:val="auto"/>
                      <w:highlight w:val="none"/>
                    </w:rPr>
                    <w:t>COD、氨氮、BOD</w:t>
                  </w:r>
                  <w:r>
                    <w:rPr>
                      <w:rFonts w:hint="eastAsia"/>
                      <w:color w:val="auto"/>
                      <w:highlight w:val="none"/>
                      <w:vertAlign w:val="subscript"/>
                    </w:rPr>
                    <w:t>5</w:t>
                  </w:r>
                  <w:r>
                    <w:rPr>
                      <w:rFonts w:hint="eastAsia"/>
                      <w:color w:val="auto"/>
                      <w:highlight w:val="none"/>
                    </w:rPr>
                    <w:t>、SS</w:t>
                  </w:r>
                </w:p>
              </w:tc>
              <w:tc>
                <w:tcPr>
                  <w:tcW w:w="3202" w:type="dxa"/>
                  <w:tcBorders>
                    <w:left w:val="single" w:color="auto" w:sz="4" w:space="0"/>
                  </w:tcBorders>
                  <w:vAlign w:val="center"/>
                </w:tcPr>
                <w:p>
                  <w:pPr>
                    <w:pStyle w:val="63"/>
                    <w:rPr>
                      <w:color w:val="auto"/>
                      <w:highlight w:val="none"/>
                    </w:rPr>
                  </w:pPr>
                  <w:r>
                    <w:rPr>
                      <w:rFonts w:hint="eastAsia"/>
                      <w:color w:val="auto"/>
                      <w:highlight w:val="none"/>
                    </w:rPr>
                    <w:t>生活污水经市政污水管网排入漳湾临港工业区临时一体化污水处理厂进一步处理后排放。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481" w:type="dxa"/>
                  <w:gridSpan w:val="2"/>
                  <w:vMerge w:val="restart"/>
                  <w:vAlign w:val="center"/>
                </w:tcPr>
                <w:p>
                  <w:pPr>
                    <w:pStyle w:val="63"/>
                    <w:rPr>
                      <w:color w:val="auto"/>
                      <w:highlight w:val="none"/>
                    </w:rPr>
                  </w:pPr>
                  <w:r>
                    <w:rPr>
                      <w:rFonts w:hint="eastAsia"/>
                      <w:color w:val="auto"/>
                      <w:highlight w:val="none"/>
                    </w:rPr>
                    <w:t>废气</w:t>
                  </w:r>
                </w:p>
              </w:tc>
              <w:tc>
                <w:tcPr>
                  <w:tcW w:w="2152" w:type="dxa"/>
                  <w:vAlign w:val="center"/>
                </w:tcPr>
                <w:p>
                  <w:pPr>
                    <w:pStyle w:val="63"/>
                    <w:rPr>
                      <w:color w:val="auto"/>
                      <w:highlight w:val="none"/>
                    </w:rPr>
                  </w:pPr>
                  <w:r>
                    <w:rPr>
                      <w:rFonts w:hint="eastAsia"/>
                      <w:color w:val="auto"/>
                      <w:highlight w:val="none"/>
                    </w:rPr>
                    <w:t>码头卸料扬尘</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道路运输扬尘</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481" w:type="dxa"/>
                  <w:gridSpan w:val="2"/>
                  <w:vMerge w:val="continue"/>
                  <w:vAlign w:val="center"/>
                </w:tcPr>
                <w:p>
                  <w:pPr>
                    <w:pStyle w:val="63"/>
                    <w:rPr>
                      <w:color w:val="auto"/>
                      <w:highlight w:val="none"/>
                    </w:rPr>
                  </w:pPr>
                </w:p>
              </w:tc>
              <w:tc>
                <w:tcPr>
                  <w:tcW w:w="2152" w:type="dxa"/>
                  <w:shd w:val="clear" w:color="auto" w:fill="auto"/>
                  <w:vAlign w:val="center"/>
                </w:tcPr>
                <w:p>
                  <w:pPr>
                    <w:pStyle w:val="63"/>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M-9#</w:t>
                  </w:r>
                  <w:r>
                    <w:rPr>
                      <w:rFonts w:hint="eastAsia"/>
                      <w:color w:val="auto"/>
                      <w:highlight w:val="none"/>
                    </w:rPr>
                    <w:t>转运站粉尘</w:t>
                  </w:r>
                </w:p>
              </w:tc>
              <w:tc>
                <w:tcPr>
                  <w:tcW w:w="2033" w:type="dxa"/>
                  <w:shd w:val="clear" w:color="auto" w:fill="auto"/>
                  <w:vAlign w:val="center"/>
                </w:tcPr>
                <w:p>
                  <w:pPr>
                    <w:pStyle w:val="63"/>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rPr>
                    <w:t>粉尘</w:t>
                  </w:r>
                </w:p>
              </w:tc>
              <w:tc>
                <w:tcPr>
                  <w:tcW w:w="3202" w:type="dxa"/>
                  <w:tcBorders>
                    <w:left w:val="single" w:color="auto" w:sz="4" w:space="0"/>
                  </w:tcBorders>
                  <w:shd w:val="clear" w:color="auto" w:fill="auto"/>
                  <w:vAlign w:val="center"/>
                </w:tcPr>
                <w:p>
                  <w:pPr>
                    <w:pStyle w:val="63"/>
                    <w:rPr>
                      <w:rFonts w:hint="eastAsia"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塑烧板除尘器</w:t>
                  </w:r>
                  <w:r>
                    <w:rPr>
                      <w:rFonts w:hint="eastAsia"/>
                      <w:color w:val="auto"/>
                      <w:highlight w:val="none"/>
                    </w:rPr>
                    <w:t>处理后通过15m排气筒（DA00</w:t>
                  </w:r>
                  <w:r>
                    <w:rPr>
                      <w:rFonts w:hint="eastAsia"/>
                      <w:color w:val="auto"/>
                      <w:highlight w:val="none"/>
                      <w:lang w:val="en-US" w:eastAsia="zh-CN"/>
                    </w:rPr>
                    <w:t>1</w:t>
                  </w:r>
                  <w:r>
                    <w:rPr>
                      <w:rFonts w:hint="eastAsia"/>
                      <w:color w:val="auto"/>
                      <w:highlight w:val="none"/>
                    </w:rPr>
                    <w:t>）排放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4"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lang w:val="en-US" w:eastAsia="zh-CN"/>
                    </w:rPr>
                    <w:t>卸矿站</w:t>
                  </w:r>
                  <w:r>
                    <w:rPr>
                      <w:rFonts w:hint="eastAsia"/>
                      <w:color w:val="auto"/>
                      <w:highlight w:val="none"/>
                    </w:rPr>
                    <w:t>输送粉尘</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负压集气至</w:t>
                  </w:r>
                  <w:r>
                    <w:rPr>
                      <w:rFonts w:hint="eastAsia"/>
                      <w:color w:val="auto"/>
                      <w:highlight w:val="none"/>
                      <w:lang w:val="en-US" w:eastAsia="zh-CN"/>
                    </w:rPr>
                    <w:t>塑烧板除尘器</w:t>
                  </w:r>
                  <w:r>
                    <w:rPr>
                      <w:rFonts w:hint="eastAsia"/>
                      <w:color w:val="auto"/>
                      <w:highlight w:val="none"/>
                    </w:rPr>
                    <w:t>处理后通过15m排气筒（DA00</w:t>
                  </w:r>
                  <w:r>
                    <w:rPr>
                      <w:rFonts w:hint="eastAsia"/>
                      <w:color w:val="auto"/>
                      <w:highlight w:val="none"/>
                      <w:lang w:val="en-US" w:eastAsia="zh-CN"/>
                    </w:rPr>
                    <w:t>2</w:t>
                  </w:r>
                  <w:r>
                    <w:rPr>
                      <w:rFonts w:hint="eastAsia"/>
                      <w:color w:val="auto"/>
                      <w:highlight w:val="none"/>
                    </w:rPr>
                    <w:t>）排放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lang w:val="en-US" w:eastAsia="zh-CN"/>
                    </w:rPr>
                    <w:t>卸矿站</w:t>
                  </w:r>
                  <w:r>
                    <w:rPr>
                      <w:rFonts w:hint="eastAsia"/>
                      <w:color w:val="auto"/>
                      <w:highlight w:val="none"/>
                    </w:rPr>
                    <w:t>（原料</w:t>
                  </w:r>
                  <w:r>
                    <w:rPr>
                      <w:rFonts w:hint="eastAsia"/>
                      <w:color w:val="auto"/>
                      <w:highlight w:val="none"/>
                      <w:lang w:eastAsia="zh-CN"/>
                    </w:rPr>
                    <w:t>、</w:t>
                  </w:r>
                  <w:r>
                    <w:rPr>
                      <w:rFonts w:hint="eastAsia"/>
                      <w:color w:val="auto"/>
                      <w:highlight w:val="none"/>
                      <w:lang w:val="en-US" w:eastAsia="zh-CN"/>
                    </w:rPr>
                    <w:t>成品</w:t>
                  </w:r>
                  <w:r>
                    <w:rPr>
                      <w:rFonts w:hint="eastAsia"/>
                      <w:color w:val="auto"/>
                      <w:highlight w:val="none"/>
                    </w:rPr>
                    <w:t>装卸、输送、堆放</w:t>
                  </w:r>
                  <w:r>
                    <w:rPr>
                      <w:rFonts w:hint="eastAsia"/>
                      <w:color w:val="auto"/>
                      <w:highlight w:val="none"/>
                      <w:lang w:val="en-US" w:eastAsia="zh-CN"/>
                    </w:rPr>
                    <w:t>过程</w:t>
                  </w:r>
                  <w:r>
                    <w:rPr>
                      <w:rFonts w:hint="eastAsia"/>
                      <w:color w:val="auto"/>
                      <w:highlight w:val="none"/>
                    </w:rPr>
                    <w:t>）</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车间</w:t>
                  </w:r>
                  <w:r>
                    <w:rPr>
                      <w:rFonts w:hint="eastAsia"/>
                      <w:color w:val="auto"/>
                      <w:highlight w:val="none"/>
                      <w:lang w:eastAsia="zh-CN"/>
                    </w:rPr>
                    <w:t>封闭</w:t>
                  </w:r>
                  <w:r>
                    <w:rPr>
                      <w:rFonts w:hint="eastAsia"/>
                      <w:color w:val="auto"/>
                      <w:highlight w:val="none"/>
                    </w:rPr>
                    <w:t>，智能高压喷雾抑尘后无组织排放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lang w:val="en-US" w:eastAsia="zh-CN"/>
                    </w:rPr>
                    <w:t>混矿库混矿库S-2~6、S-9、S-14号等输送机卸料点及西侧配料皮带秤卸料点</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智能高压喷雾抑尘，车间</w:t>
                  </w:r>
                  <w:r>
                    <w:rPr>
                      <w:rFonts w:hint="eastAsia"/>
                      <w:color w:val="auto"/>
                      <w:highlight w:val="none"/>
                      <w:lang w:eastAsia="zh-CN"/>
                    </w:rPr>
                    <w:t>封闭</w:t>
                  </w:r>
                  <w:r>
                    <w:rPr>
                      <w:rFonts w:hint="eastAsia"/>
                      <w:color w:val="auto"/>
                      <w:highlight w:val="none"/>
                    </w:rPr>
                    <w:t>，负压集气至</w:t>
                  </w:r>
                  <w:r>
                    <w:rPr>
                      <w:rFonts w:hint="eastAsia"/>
                      <w:color w:val="auto"/>
                      <w:highlight w:val="none"/>
                      <w:lang w:val="en-US" w:eastAsia="zh-CN"/>
                    </w:rPr>
                    <w:t>塑烧板除尘器</w:t>
                  </w:r>
                  <w:r>
                    <w:rPr>
                      <w:rFonts w:hint="eastAsia"/>
                      <w:color w:val="auto"/>
                      <w:highlight w:val="none"/>
                    </w:rPr>
                    <w:t>处理后通过15m排气筒（DA00</w:t>
                  </w:r>
                  <w:r>
                    <w:rPr>
                      <w:rFonts w:hint="eastAsia"/>
                      <w:color w:val="auto"/>
                      <w:highlight w:val="none"/>
                      <w:lang w:val="en-US" w:eastAsia="zh-CN"/>
                    </w:rPr>
                    <w:t>3</w:t>
                  </w:r>
                  <w:r>
                    <w:rPr>
                      <w:rFonts w:hint="eastAsia"/>
                      <w:color w:val="auto"/>
                      <w:highlight w:val="none"/>
                    </w:rPr>
                    <w:t>）排放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rFonts w:hint="eastAsia"/>
                      <w:color w:val="auto"/>
                      <w:highlight w:val="none"/>
                      <w:lang w:val="en-US" w:eastAsia="zh-CN"/>
                    </w:rPr>
                  </w:pPr>
                  <w:r>
                    <w:rPr>
                      <w:rFonts w:hint="eastAsia"/>
                      <w:color w:val="auto"/>
                      <w:highlight w:val="none"/>
                      <w:lang w:val="en-US" w:eastAsia="zh-CN"/>
                    </w:rPr>
                    <w:t>4#胶带输送机，混矿库S-1、S-7~8、S-10、S-15等输送机卸料点及东侧配料皮带秤卸料点</w:t>
                  </w:r>
                </w:p>
              </w:tc>
              <w:tc>
                <w:tcPr>
                  <w:tcW w:w="2033" w:type="dxa"/>
                  <w:vAlign w:val="center"/>
                </w:tcPr>
                <w:p>
                  <w:pPr>
                    <w:pStyle w:val="63"/>
                    <w:rPr>
                      <w:rFonts w:hint="eastAsia"/>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rFonts w:hint="eastAsia"/>
                      <w:color w:val="auto"/>
                      <w:highlight w:val="none"/>
                    </w:rPr>
                  </w:pPr>
                  <w:r>
                    <w:rPr>
                      <w:rFonts w:hint="eastAsia"/>
                      <w:color w:val="auto"/>
                      <w:highlight w:val="none"/>
                    </w:rPr>
                    <w:t>智能高压喷雾抑尘，车间</w:t>
                  </w:r>
                  <w:r>
                    <w:rPr>
                      <w:rFonts w:hint="eastAsia"/>
                      <w:color w:val="auto"/>
                      <w:highlight w:val="none"/>
                      <w:lang w:eastAsia="zh-CN"/>
                    </w:rPr>
                    <w:t>封闭</w:t>
                  </w:r>
                  <w:r>
                    <w:rPr>
                      <w:rFonts w:hint="eastAsia"/>
                      <w:color w:val="auto"/>
                      <w:highlight w:val="none"/>
                    </w:rPr>
                    <w:t>，负压集气至</w:t>
                  </w:r>
                  <w:r>
                    <w:rPr>
                      <w:rFonts w:hint="eastAsia"/>
                      <w:color w:val="auto"/>
                      <w:highlight w:val="none"/>
                      <w:lang w:val="en-US" w:eastAsia="zh-CN"/>
                    </w:rPr>
                    <w:t>塑烧板除尘器</w:t>
                  </w:r>
                  <w:r>
                    <w:rPr>
                      <w:rFonts w:hint="eastAsia"/>
                      <w:color w:val="auto"/>
                      <w:highlight w:val="none"/>
                    </w:rPr>
                    <w:t>处理后通过15m排气筒（DA00</w:t>
                  </w:r>
                  <w:r>
                    <w:rPr>
                      <w:rFonts w:hint="eastAsia"/>
                      <w:color w:val="auto"/>
                      <w:highlight w:val="none"/>
                      <w:lang w:val="en-US" w:eastAsia="zh-CN"/>
                    </w:rPr>
                    <w:t>4</w:t>
                  </w:r>
                  <w:r>
                    <w:rPr>
                      <w:rFonts w:hint="eastAsia"/>
                      <w:color w:val="auto"/>
                      <w:highlight w:val="none"/>
                    </w:rPr>
                    <w:t>）排放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制样室粉尘</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color w:val="auto"/>
                      <w:highlight w:val="none"/>
                    </w:rPr>
                    <w:t>滤筒净化一体机</w:t>
                  </w:r>
                  <w:r>
                    <w:rPr>
                      <w:rFonts w:hint="eastAsia"/>
                      <w:color w:val="auto"/>
                      <w:highlight w:val="none"/>
                    </w:rPr>
                    <w:t>处理后库内排放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481" w:type="dxa"/>
                  <w:gridSpan w:val="2"/>
                  <w:vMerge w:val="continue"/>
                  <w:vAlign w:val="center"/>
                </w:tcPr>
                <w:p>
                  <w:pPr>
                    <w:pStyle w:val="63"/>
                    <w:rPr>
                      <w:color w:val="auto"/>
                      <w:highlight w:val="none"/>
                    </w:rPr>
                  </w:pPr>
                </w:p>
              </w:tc>
              <w:tc>
                <w:tcPr>
                  <w:tcW w:w="2152" w:type="dxa"/>
                  <w:vAlign w:val="center"/>
                </w:tcPr>
                <w:p>
                  <w:pPr>
                    <w:pStyle w:val="63"/>
                    <w:rPr>
                      <w:rFonts w:hint="eastAsia" w:eastAsia="宋体"/>
                      <w:color w:val="auto"/>
                      <w:highlight w:val="none"/>
                      <w:lang w:val="en-US" w:eastAsia="zh-CN"/>
                    </w:rPr>
                  </w:pPr>
                  <w:r>
                    <w:rPr>
                      <w:rFonts w:hint="eastAsia"/>
                      <w:color w:val="auto"/>
                      <w:highlight w:val="none"/>
                      <w:lang w:val="en-US" w:eastAsia="zh-CN"/>
                    </w:rPr>
                    <w:t>混矿库上料、落料，输送机输送，原料、成品堆场</w:t>
                  </w:r>
                </w:p>
              </w:tc>
              <w:tc>
                <w:tcPr>
                  <w:tcW w:w="2033" w:type="dxa"/>
                  <w:vAlign w:val="center"/>
                </w:tcPr>
                <w:p>
                  <w:pPr>
                    <w:pStyle w:val="63"/>
                    <w:rPr>
                      <w:color w:val="auto"/>
                      <w:highlight w:val="none"/>
                    </w:rPr>
                  </w:pPr>
                  <w:r>
                    <w:rPr>
                      <w:rFonts w:hint="eastAsia"/>
                      <w:color w:val="auto"/>
                      <w:highlight w:val="none"/>
                    </w:rPr>
                    <w:t>粉尘</w:t>
                  </w:r>
                </w:p>
              </w:tc>
              <w:tc>
                <w:tcPr>
                  <w:tcW w:w="3202" w:type="dxa"/>
                  <w:tcBorders>
                    <w:left w:val="single" w:color="auto" w:sz="4" w:space="0"/>
                  </w:tcBorders>
                  <w:vAlign w:val="center"/>
                </w:tcPr>
                <w:p>
                  <w:pPr>
                    <w:pStyle w:val="63"/>
                    <w:rPr>
                      <w:color w:val="auto"/>
                      <w:highlight w:val="none"/>
                    </w:rPr>
                  </w:pPr>
                  <w:r>
                    <w:rPr>
                      <w:rFonts w:hint="eastAsia"/>
                      <w:color w:val="auto"/>
                      <w:highlight w:val="none"/>
                    </w:rPr>
                    <w:t>车间</w:t>
                  </w:r>
                  <w:r>
                    <w:rPr>
                      <w:rFonts w:hint="eastAsia"/>
                      <w:color w:val="auto"/>
                      <w:highlight w:val="none"/>
                      <w:lang w:eastAsia="zh-CN"/>
                    </w:rPr>
                    <w:t>封闭</w:t>
                  </w:r>
                  <w:r>
                    <w:rPr>
                      <w:rFonts w:hint="eastAsia"/>
                      <w:color w:val="auto"/>
                      <w:highlight w:val="none"/>
                    </w:rPr>
                    <w:t>，智能高压喷雾抑尘后无组织排放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6" w:hRule="atLeast"/>
                <w:jc w:val="center"/>
              </w:trPr>
              <w:tc>
                <w:tcPr>
                  <w:tcW w:w="1481" w:type="dxa"/>
                  <w:gridSpan w:val="2"/>
                  <w:vAlign w:val="center"/>
                </w:tcPr>
                <w:p>
                  <w:pPr>
                    <w:pStyle w:val="63"/>
                    <w:rPr>
                      <w:color w:val="auto"/>
                      <w:highlight w:val="none"/>
                    </w:rPr>
                  </w:pPr>
                  <w:r>
                    <w:rPr>
                      <w:rFonts w:hint="eastAsia"/>
                      <w:color w:val="auto"/>
                      <w:highlight w:val="none"/>
                    </w:rPr>
                    <w:t>噪声</w:t>
                  </w:r>
                </w:p>
              </w:tc>
              <w:tc>
                <w:tcPr>
                  <w:tcW w:w="2152" w:type="dxa"/>
                  <w:vAlign w:val="center"/>
                </w:tcPr>
                <w:p>
                  <w:pPr>
                    <w:pStyle w:val="63"/>
                    <w:rPr>
                      <w:color w:val="auto"/>
                      <w:highlight w:val="none"/>
                    </w:rPr>
                  </w:pPr>
                  <w:r>
                    <w:rPr>
                      <w:rFonts w:hint="eastAsia"/>
                      <w:color w:val="auto"/>
                      <w:highlight w:val="none"/>
                    </w:rPr>
                    <w:t>设备运行</w:t>
                  </w:r>
                </w:p>
              </w:tc>
              <w:tc>
                <w:tcPr>
                  <w:tcW w:w="2033" w:type="dxa"/>
                  <w:vAlign w:val="center"/>
                </w:tcPr>
                <w:p>
                  <w:pPr>
                    <w:pStyle w:val="63"/>
                    <w:rPr>
                      <w:color w:val="auto"/>
                      <w:highlight w:val="none"/>
                    </w:rPr>
                  </w:pPr>
                  <w:r>
                    <w:rPr>
                      <w:color w:val="auto"/>
                      <w:highlight w:val="none"/>
                    </w:rPr>
                    <w:t>Leq(A)</w:t>
                  </w:r>
                </w:p>
              </w:tc>
              <w:tc>
                <w:tcPr>
                  <w:tcW w:w="3202" w:type="dxa"/>
                  <w:tcBorders>
                    <w:left w:val="single" w:color="auto" w:sz="4" w:space="0"/>
                  </w:tcBorders>
                  <w:vAlign w:val="center"/>
                </w:tcPr>
                <w:p>
                  <w:pPr>
                    <w:pStyle w:val="63"/>
                    <w:rPr>
                      <w:color w:val="auto"/>
                      <w:highlight w:val="none"/>
                    </w:rPr>
                  </w:pPr>
                  <w:r>
                    <w:rPr>
                      <w:rFonts w:hint="eastAsia"/>
                      <w:color w:val="auto"/>
                      <w:highlight w:val="none"/>
                    </w:rPr>
                    <w:t>选用低噪声设备，合理布置，厂房隔声、减振隔声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0" w:hRule="atLeast"/>
                <w:jc w:val="center"/>
              </w:trPr>
              <w:tc>
                <w:tcPr>
                  <w:tcW w:w="426" w:type="dxa"/>
                  <w:vMerge w:val="restart"/>
                  <w:vAlign w:val="center"/>
                </w:tcPr>
                <w:p>
                  <w:pPr>
                    <w:pStyle w:val="63"/>
                    <w:rPr>
                      <w:color w:val="auto"/>
                      <w:highlight w:val="none"/>
                    </w:rPr>
                  </w:pPr>
                  <w:r>
                    <w:rPr>
                      <w:rFonts w:hint="eastAsia"/>
                      <w:color w:val="auto"/>
                      <w:highlight w:val="none"/>
                    </w:rPr>
                    <w:t>固废</w:t>
                  </w:r>
                </w:p>
              </w:tc>
              <w:tc>
                <w:tcPr>
                  <w:tcW w:w="1055" w:type="dxa"/>
                  <w:vMerge w:val="restart"/>
                  <w:tcBorders>
                    <w:left w:val="nil"/>
                  </w:tcBorders>
                  <w:vAlign w:val="center"/>
                </w:tcPr>
                <w:p>
                  <w:pPr>
                    <w:pStyle w:val="63"/>
                    <w:rPr>
                      <w:color w:val="auto"/>
                      <w:highlight w:val="none"/>
                    </w:rPr>
                  </w:pPr>
                  <w:r>
                    <w:rPr>
                      <w:rFonts w:hint="eastAsia"/>
                      <w:color w:val="auto"/>
                      <w:highlight w:val="none"/>
                    </w:rPr>
                    <w:t>一般固体废物</w:t>
                  </w:r>
                </w:p>
              </w:tc>
              <w:tc>
                <w:tcPr>
                  <w:tcW w:w="2152" w:type="dxa"/>
                  <w:vAlign w:val="center"/>
                </w:tcPr>
                <w:p>
                  <w:pPr>
                    <w:pStyle w:val="63"/>
                    <w:rPr>
                      <w:color w:val="auto"/>
                      <w:highlight w:val="none"/>
                    </w:rPr>
                  </w:pPr>
                  <w:r>
                    <w:rPr>
                      <w:rFonts w:hint="eastAsia"/>
                      <w:color w:val="auto"/>
                      <w:highlight w:val="none"/>
                    </w:rPr>
                    <w:t>除尘器</w:t>
                  </w:r>
                </w:p>
              </w:tc>
              <w:tc>
                <w:tcPr>
                  <w:tcW w:w="2033" w:type="dxa"/>
                  <w:vAlign w:val="center"/>
                </w:tcPr>
                <w:p>
                  <w:pPr>
                    <w:pStyle w:val="63"/>
                    <w:rPr>
                      <w:color w:val="auto"/>
                      <w:highlight w:val="none"/>
                    </w:rPr>
                  </w:pPr>
                  <w:r>
                    <w:rPr>
                      <w:rFonts w:hint="eastAsia"/>
                      <w:color w:val="auto"/>
                      <w:highlight w:val="none"/>
                    </w:rPr>
                    <w:t>除尘器收集粉尘S1</w:t>
                  </w:r>
                </w:p>
              </w:tc>
              <w:tc>
                <w:tcPr>
                  <w:tcW w:w="3202" w:type="dxa"/>
                  <w:vMerge w:val="restart"/>
                  <w:tcBorders>
                    <w:left w:val="single" w:color="auto" w:sz="4" w:space="0"/>
                  </w:tcBorders>
                  <w:vAlign w:val="center"/>
                </w:tcPr>
                <w:p>
                  <w:pPr>
                    <w:pStyle w:val="63"/>
                    <w:rPr>
                      <w:color w:val="auto"/>
                      <w:highlight w:val="none"/>
                    </w:rPr>
                  </w:pPr>
                  <w:r>
                    <w:rPr>
                      <w:rFonts w:hint="eastAsia"/>
                      <w:color w:val="auto"/>
                      <w:highlight w:val="none"/>
                    </w:rPr>
                    <w:t>回用于生产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10" w:hRule="atLeast"/>
                <w:jc w:val="center"/>
              </w:trPr>
              <w:tc>
                <w:tcPr>
                  <w:tcW w:w="426" w:type="dxa"/>
                  <w:vMerge w:val="continue"/>
                  <w:vAlign w:val="center"/>
                </w:tcPr>
                <w:p>
                  <w:pPr>
                    <w:pStyle w:val="63"/>
                    <w:rPr>
                      <w:color w:val="auto"/>
                      <w:highlight w:val="none"/>
                    </w:rPr>
                  </w:pPr>
                </w:p>
              </w:tc>
              <w:tc>
                <w:tcPr>
                  <w:tcW w:w="1055" w:type="dxa"/>
                  <w:vMerge w:val="continue"/>
                  <w:tcBorders>
                    <w:left w:val="nil"/>
                  </w:tcBorders>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沉淀池</w:t>
                  </w:r>
                </w:p>
              </w:tc>
              <w:tc>
                <w:tcPr>
                  <w:tcW w:w="2033" w:type="dxa"/>
                  <w:vAlign w:val="center"/>
                </w:tcPr>
                <w:p>
                  <w:pPr>
                    <w:pStyle w:val="63"/>
                    <w:rPr>
                      <w:color w:val="auto"/>
                      <w:highlight w:val="none"/>
                    </w:rPr>
                  </w:pPr>
                  <w:r>
                    <w:rPr>
                      <w:rFonts w:hint="eastAsia"/>
                      <w:color w:val="auto"/>
                      <w:highlight w:val="none"/>
                    </w:rPr>
                    <w:t>沉淀池沉渣S2</w:t>
                  </w:r>
                </w:p>
              </w:tc>
              <w:tc>
                <w:tcPr>
                  <w:tcW w:w="3202" w:type="dxa"/>
                  <w:vMerge w:val="continue"/>
                  <w:tcBorders>
                    <w:left w:val="single" w:color="auto" w:sz="4" w:space="0"/>
                  </w:tcBorders>
                  <w:vAlign w:val="center"/>
                </w:tcPr>
                <w:p>
                  <w:pPr>
                    <w:pStyle w:val="63"/>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6" w:type="dxa"/>
                  <w:vMerge w:val="continue"/>
                  <w:vAlign w:val="center"/>
                </w:tcPr>
                <w:p>
                  <w:pPr>
                    <w:pStyle w:val="63"/>
                    <w:rPr>
                      <w:color w:val="auto"/>
                      <w:highlight w:val="none"/>
                    </w:rPr>
                  </w:pPr>
                </w:p>
              </w:tc>
              <w:tc>
                <w:tcPr>
                  <w:tcW w:w="1055" w:type="dxa"/>
                  <w:vMerge w:val="continue"/>
                  <w:tcBorders>
                    <w:left w:val="nil"/>
                  </w:tcBorders>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除尘器</w:t>
                  </w:r>
                </w:p>
              </w:tc>
              <w:tc>
                <w:tcPr>
                  <w:tcW w:w="2033" w:type="dxa"/>
                  <w:vAlign w:val="center"/>
                </w:tcPr>
                <w:p>
                  <w:pPr>
                    <w:pStyle w:val="63"/>
                    <w:rPr>
                      <w:color w:val="auto"/>
                      <w:highlight w:val="none"/>
                    </w:rPr>
                  </w:pPr>
                  <w:r>
                    <w:rPr>
                      <w:rFonts w:hint="eastAsia"/>
                      <w:color w:val="auto"/>
                      <w:highlight w:val="none"/>
                      <w:lang w:eastAsia="zh-CN"/>
                    </w:rPr>
                    <w:t>废滤芯</w:t>
                  </w:r>
                  <w:r>
                    <w:rPr>
                      <w:rFonts w:hint="eastAsia"/>
                      <w:color w:val="auto"/>
                      <w:highlight w:val="none"/>
                    </w:rPr>
                    <w:t>S3</w:t>
                  </w:r>
                </w:p>
              </w:tc>
              <w:tc>
                <w:tcPr>
                  <w:tcW w:w="3202" w:type="dxa"/>
                  <w:tcBorders>
                    <w:left w:val="single" w:color="auto" w:sz="4" w:space="0"/>
                  </w:tcBorders>
                  <w:vAlign w:val="center"/>
                </w:tcPr>
                <w:p>
                  <w:pPr>
                    <w:pStyle w:val="63"/>
                    <w:rPr>
                      <w:color w:val="auto"/>
                      <w:highlight w:val="none"/>
                    </w:rPr>
                  </w:pPr>
                  <w:r>
                    <w:rPr>
                      <w:rFonts w:hint="eastAsia"/>
                      <w:color w:val="auto"/>
                      <w:highlight w:val="none"/>
                    </w:rPr>
                    <w:t>厂家回收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6" w:type="dxa"/>
                  <w:vMerge w:val="continue"/>
                  <w:vAlign w:val="center"/>
                </w:tcPr>
                <w:p>
                  <w:pPr>
                    <w:pStyle w:val="63"/>
                    <w:rPr>
                      <w:color w:val="auto"/>
                      <w:highlight w:val="none"/>
                    </w:rPr>
                  </w:pPr>
                </w:p>
              </w:tc>
              <w:tc>
                <w:tcPr>
                  <w:tcW w:w="1055" w:type="dxa"/>
                  <w:tcBorders>
                    <w:left w:val="nil"/>
                  </w:tcBorders>
                  <w:vAlign w:val="center"/>
                </w:tcPr>
                <w:p>
                  <w:pPr>
                    <w:pStyle w:val="63"/>
                    <w:rPr>
                      <w:color w:val="auto"/>
                      <w:highlight w:val="none"/>
                    </w:rPr>
                  </w:pPr>
                  <w:r>
                    <w:rPr>
                      <w:rFonts w:hint="eastAsia"/>
                      <w:color w:val="auto"/>
                      <w:highlight w:val="none"/>
                    </w:rPr>
                    <w:t>生活垃圾</w:t>
                  </w:r>
                </w:p>
              </w:tc>
              <w:tc>
                <w:tcPr>
                  <w:tcW w:w="2152" w:type="dxa"/>
                  <w:vAlign w:val="center"/>
                </w:tcPr>
                <w:p>
                  <w:pPr>
                    <w:pStyle w:val="63"/>
                    <w:rPr>
                      <w:color w:val="auto"/>
                      <w:highlight w:val="none"/>
                    </w:rPr>
                  </w:pPr>
                  <w:r>
                    <w:rPr>
                      <w:rFonts w:hint="eastAsia"/>
                      <w:color w:val="auto"/>
                      <w:highlight w:val="none"/>
                    </w:rPr>
                    <w:t>职工生活</w:t>
                  </w:r>
                </w:p>
              </w:tc>
              <w:tc>
                <w:tcPr>
                  <w:tcW w:w="2033" w:type="dxa"/>
                  <w:vAlign w:val="center"/>
                </w:tcPr>
                <w:p>
                  <w:pPr>
                    <w:pStyle w:val="63"/>
                    <w:rPr>
                      <w:color w:val="auto"/>
                      <w:highlight w:val="none"/>
                    </w:rPr>
                  </w:pPr>
                  <w:r>
                    <w:rPr>
                      <w:rFonts w:hint="eastAsia"/>
                      <w:color w:val="auto"/>
                      <w:highlight w:val="none"/>
                    </w:rPr>
                    <w:t>生活垃圾</w:t>
                  </w:r>
                </w:p>
              </w:tc>
              <w:tc>
                <w:tcPr>
                  <w:tcW w:w="3202" w:type="dxa"/>
                  <w:tcBorders>
                    <w:left w:val="single" w:color="auto" w:sz="4" w:space="0"/>
                  </w:tcBorders>
                  <w:vAlign w:val="center"/>
                </w:tcPr>
                <w:p>
                  <w:pPr>
                    <w:pStyle w:val="63"/>
                    <w:rPr>
                      <w:color w:val="auto"/>
                      <w:highlight w:val="none"/>
                    </w:rPr>
                  </w:pPr>
                  <w:r>
                    <w:rPr>
                      <w:color w:val="auto"/>
                      <w:highlight w:val="none"/>
                    </w:rPr>
                    <w:t>经分类收集，委托环卫部门统一外运处置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4" w:hRule="atLeast"/>
                <w:jc w:val="center"/>
              </w:trPr>
              <w:tc>
                <w:tcPr>
                  <w:tcW w:w="426" w:type="dxa"/>
                  <w:vMerge w:val="continue"/>
                  <w:vAlign w:val="center"/>
                </w:tcPr>
                <w:p>
                  <w:pPr>
                    <w:pStyle w:val="63"/>
                    <w:rPr>
                      <w:color w:val="auto"/>
                      <w:highlight w:val="none"/>
                    </w:rPr>
                  </w:pPr>
                </w:p>
              </w:tc>
              <w:tc>
                <w:tcPr>
                  <w:tcW w:w="1055" w:type="dxa"/>
                  <w:vMerge w:val="restart"/>
                  <w:tcBorders>
                    <w:left w:val="nil"/>
                  </w:tcBorders>
                  <w:vAlign w:val="center"/>
                </w:tcPr>
                <w:p>
                  <w:pPr>
                    <w:pStyle w:val="63"/>
                    <w:rPr>
                      <w:color w:val="auto"/>
                      <w:highlight w:val="none"/>
                    </w:rPr>
                  </w:pPr>
                  <w:r>
                    <w:rPr>
                      <w:rFonts w:hint="eastAsia"/>
                      <w:color w:val="auto"/>
                      <w:highlight w:val="none"/>
                    </w:rPr>
                    <w:t>危险废物</w:t>
                  </w:r>
                </w:p>
              </w:tc>
              <w:tc>
                <w:tcPr>
                  <w:tcW w:w="2152" w:type="dxa"/>
                  <w:vAlign w:val="center"/>
                </w:tcPr>
                <w:p>
                  <w:pPr>
                    <w:pStyle w:val="63"/>
                    <w:rPr>
                      <w:color w:val="auto"/>
                      <w:highlight w:val="none"/>
                    </w:rPr>
                  </w:pPr>
                  <w:r>
                    <w:rPr>
                      <w:rFonts w:hint="eastAsia"/>
                      <w:color w:val="auto"/>
                      <w:highlight w:val="none"/>
                    </w:rPr>
                    <w:t>设备机油更换</w:t>
                  </w:r>
                </w:p>
              </w:tc>
              <w:tc>
                <w:tcPr>
                  <w:tcW w:w="2033" w:type="dxa"/>
                  <w:vAlign w:val="center"/>
                </w:tcPr>
                <w:p>
                  <w:pPr>
                    <w:pStyle w:val="63"/>
                    <w:rPr>
                      <w:color w:val="auto"/>
                      <w:highlight w:val="none"/>
                    </w:rPr>
                  </w:pPr>
                  <w:r>
                    <w:rPr>
                      <w:rFonts w:hint="eastAsia"/>
                      <w:color w:val="auto"/>
                      <w:highlight w:val="none"/>
                    </w:rPr>
                    <w:t>矿物油</w:t>
                  </w:r>
                </w:p>
              </w:tc>
              <w:tc>
                <w:tcPr>
                  <w:tcW w:w="3202" w:type="dxa"/>
                  <w:vMerge w:val="restart"/>
                  <w:tcBorders>
                    <w:left w:val="single" w:color="auto" w:sz="4" w:space="0"/>
                  </w:tcBorders>
                  <w:vAlign w:val="center"/>
                </w:tcPr>
                <w:p>
                  <w:pPr>
                    <w:pStyle w:val="63"/>
                    <w:rPr>
                      <w:color w:val="auto"/>
                      <w:highlight w:val="none"/>
                    </w:rPr>
                  </w:pPr>
                  <w:r>
                    <w:rPr>
                      <w:rFonts w:hint="eastAsia"/>
                      <w:color w:val="auto"/>
                      <w:highlight w:val="none"/>
                    </w:rPr>
                    <w:t>收集后暂存于危险废物暂存间，定期委托有资质的单位处置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426" w:type="dxa"/>
                  <w:vMerge w:val="continue"/>
                  <w:vAlign w:val="center"/>
                </w:tcPr>
                <w:p>
                  <w:pPr>
                    <w:pStyle w:val="63"/>
                    <w:rPr>
                      <w:color w:val="auto"/>
                      <w:highlight w:val="none"/>
                    </w:rPr>
                  </w:pPr>
                </w:p>
              </w:tc>
              <w:tc>
                <w:tcPr>
                  <w:tcW w:w="1055" w:type="dxa"/>
                  <w:vMerge w:val="continue"/>
                  <w:tcBorders>
                    <w:left w:val="nil"/>
                  </w:tcBorders>
                  <w:vAlign w:val="center"/>
                </w:tcPr>
                <w:p>
                  <w:pPr>
                    <w:pStyle w:val="63"/>
                    <w:rPr>
                      <w:color w:val="auto"/>
                      <w:highlight w:val="none"/>
                    </w:rPr>
                  </w:pPr>
                </w:p>
              </w:tc>
              <w:tc>
                <w:tcPr>
                  <w:tcW w:w="2152" w:type="dxa"/>
                  <w:vAlign w:val="center"/>
                </w:tcPr>
                <w:p>
                  <w:pPr>
                    <w:pStyle w:val="63"/>
                    <w:rPr>
                      <w:color w:val="auto"/>
                      <w:highlight w:val="none"/>
                    </w:rPr>
                  </w:pPr>
                  <w:r>
                    <w:rPr>
                      <w:rFonts w:hint="eastAsia"/>
                      <w:color w:val="auto"/>
                      <w:highlight w:val="none"/>
                    </w:rPr>
                    <w:t>含油抹布</w:t>
                  </w:r>
                </w:p>
              </w:tc>
              <w:tc>
                <w:tcPr>
                  <w:tcW w:w="2033" w:type="dxa"/>
                  <w:vAlign w:val="center"/>
                </w:tcPr>
                <w:p>
                  <w:pPr>
                    <w:pStyle w:val="63"/>
                    <w:rPr>
                      <w:color w:val="auto"/>
                      <w:highlight w:val="none"/>
                    </w:rPr>
                  </w:pPr>
                  <w:r>
                    <w:rPr>
                      <w:rFonts w:hint="eastAsia"/>
                      <w:color w:val="auto"/>
                      <w:highlight w:val="none"/>
                    </w:rPr>
                    <w:t>矿物油</w:t>
                  </w:r>
                </w:p>
              </w:tc>
              <w:tc>
                <w:tcPr>
                  <w:tcW w:w="3202" w:type="dxa"/>
                  <w:vMerge w:val="continue"/>
                  <w:tcBorders>
                    <w:left w:val="single" w:color="auto" w:sz="4" w:space="0"/>
                  </w:tcBorders>
                  <w:vAlign w:val="center"/>
                </w:tcPr>
                <w:p>
                  <w:pPr>
                    <w:pStyle w:val="63"/>
                    <w:rPr>
                      <w:color w:val="auto"/>
                      <w:highlight w:val="none"/>
                    </w:rPr>
                  </w:pPr>
                </w:p>
              </w:tc>
            </w:tr>
          </w:tbl>
          <w:p>
            <w:pPr>
              <w:pStyle w:val="29"/>
              <w:tabs>
                <w:tab w:val="left" w:pos="644"/>
              </w:tabs>
              <w:rPr>
                <w:color w:val="auto"/>
                <w:highlight w:val="none"/>
              </w:rPr>
            </w:pPr>
            <w:r>
              <w:rPr>
                <w:rFonts w:hint="eastAsia"/>
                <w:color w:val="auto"/>
                <w:highlight w:val="none"/>
              </w:rPr>
              <w:t xml:space="preserve">2.2.2 物料平衡 </w:t>
            </w:r>
          </w:p>
          <w:p>
            <w:pPr>
              <w:pStyle w:val="42"/>
              <w:tabs>
                <w:tab w:val="left" w:pos="0"/>
              </w:tabs>
              <w:ind w:firstLine="480" w:firstLineChars="200"/>
              <w:rPr>
                <w:rFonts w:hint="eastAsia"/>
                <w:b w:val="0"/>
                <w:bCs w:val="0"/>
                <w:color w:val="auto"/>
                <w:szCs w:val="24"/>
                <w:highlight w:val="none"/>
              </w:rPr>
            </w:pPr>
            <w:r>
              <w:rPr>
                <w:rFonts w:hint="eastAsia"/>
                <w:b w:val="0"/>
                <w:bCs w:val="0"/>
                <w:color w:val="auto"/>
                <w:szCs w:val="24"/>
                <w:highlight w:val="none"/>
              </w:rPr>
              <w:t>本项目物料平衡详见下表：</w:t>
            </w:r>
          </w:p>
          <w:p>
            <w:pPr>
              <w:pStyle w:val="33"/>
              <w:rPr>
                <w:color w:val="auto"/>
                <w:highlight w:val="none"/>
              </w:rPr>
            </w:pPr>
            <w:r>
              <w:rPr>
                <w:rFonts w:hint="eastAsia"/>
                <w:color w:val="auto"/>
                <w:highlight w:val="none"/>
              </w:rPr>
              <w:t>表2.2.4  项目原料及产品物料平衡一览表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23"/>
              <w:gridCol w:w="2695"/>
              <w:gridCol w:w="1086"/>
              <w:gridCol w:w="723"/>
              <w:gridCol w:w="2161"/>
              <w:gridCol w:w="138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2566" w:type="pct"/>
                  <w:gridSpan w:val="3"/>
                  <w:vAlign w:val="center"/>
                </w:tcPr>
                <w:p>
                  <w:pPr>
                    <w:pStyle w:val="63"/>
                    <w:rPr>
                      <w:color w:val="auto"/>
                      <w:highlight w:val="none"/>
                    </w:rPr>
                  </w:pPr>
                  <w:r>
                    <w:rPr>
                      <w:rFonts w:hint="eastAsia"/>
                      <w:color w:val="auto"/>
                      <w:highlight w:val="none"/>
                    </w:rPr>
                    <w:t>入方</w:t>
                  </w:r>
                </w:p>
              </w:tc>
              <w:tc>
                <w:tcPr>
                  <w:tcW w:w="2433" w:type="pct"/>
                  <w:gridSpan w:val="3"/>
                  <w:tcBorders>
                    <w:left w:val="single" w:color="auto" w:sz="4" w:space="0"/>
                  </w:tcBorders>
                  <w:vAlign w:val="center"/>
                </w:tcPr>
                <w:p>
                  <w:pPr>
                    <w:pStyle w:val="63"/>
                    <w:rPr>
                      <w:color w:val="auto"/>
                      <w:highlight w:val="none"/>
                    </w:rPr>
                  </w:pPr>
                  <w:r>
                    <w:rPr>
                      <w:rFonts w:hint="eastAsia"/>
                      <w:color w:val="auto"/>
                      <w:highlight w:val="none"/>
                    </w:rPr>
                    <w:t>出方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pStyle w:val="63"/>
                    <w:rPr>
                      <w:color w:val="auto"/>
                      <w:highlight w:val="none"/>
                    </w:rPr>
                  </w:pPr>
                  <w:r>
                    <w:rPr>
                      <w:rFonts w:hint="eastAsia"/>
                      <w:color w:val="auto"/>
                      <w:highlight w:val="none"/>
                    </w:rPr>
                    <w:t>序号</w:t>
                  </w:r>
                </w:p>
              </w:tc>
              <w:tc>
                <w:tcPr>
                  <w:tcW w:w="1535" w:type="pct"/>
                  <w:vAlign w:val="center"/>
                </w:tcPr>
                <w:p>
                  <w:pPr>
                    <w:pStyle w:val="63"/>
                    <w:rPr>
                      <w:color w:val="auto"/>
                      <w:highlight w:val="none"/>
                    </w:rPr>
                  </w:pPr>
                  <w:r>
                    <w:rPr>
                      <w:rFonts w:hint="eastAsia"/>
                      <w:color w:val="auto"/>
                      <w:highlight w:val="none"/>
                    </w:rPr>
                    <w:t>项目</w:t>
                  </w:r>
                </w:p>
              </w:tc>
              <w:tc>
                <w:tcPr>
                  <w:tcW w:w="618" w:type="pct"/>
                  <w:vAlign w:val="center"/>
                </w:tcPr>
                <w:p>
                  <w:pPr>
                    <w:pStyle w:val="63"/>
                    <w:rPr>
                      <w:color w:val="auto"/>
                      <w:highlight w:val="none"/>
                    </w:rPr>
                  </w:pPr>
                  <w:r>
                    <w:rPr>
                      <w:rFonts w:hint="eastAsia"/>
                      <w:color w:val="auto"/>
                      <w:highlight w:val="none"/>
                    </w:rPr>
                    <w:t>t/a</w:t>
                  </w:r>
                </w:p>
              </w:tc>
              <w:tc>
                <w:tcPr>
                  <w:tcW w:w="412" w:type="pct"/>
                  <w:tcBorders>
                    <w:left w:val="single" w:color="auto" w:sz="4" w:space="0"/>
                  </w:tcBorders>
                  <w:vAlign w:val="center"/>
                </w:tcPr>
                <w:p>
                  <w:pPr>
                    <w:pStyle w:val="63"/>
                    <w:rPr>
                      <w:color w:val="auto"/>
                      <w:highlight w:val="none"/>
                    </w:rPr>
                  </w:pPr>
                  <w:r>
                    <w:rPr>
                      <w:rFonts w:hint="eastAsia"/>
                      <w:color w:val="auto"/>
                      <w:highlight w:val="none"/>
                    </w:rPr>
                    <w:t>序号</w:t>
                  </w:r>
                </w:p>
              </w:tc>
              <w:tc>
                <w:tcPr>
                  <w:tcW w:w="1231" w:type="pct"/>
                  <w:tcBorders>
                    <w:left w:val="single" w:color="auto" w:sz="4" w:space="0"/>
                  </w:tcBorders>
                  <w:vAlign w:val="center"/>
                </w:tcPr>
                <w:p>
                  <w:pPr>
                    <w:pStyle w:val="63"/>
                    <w:rPr>
                      <w:color w:val="auto"/>
                      <w:highlight w:val="none"/>
                    </w:rPr>
                  </w:pPr>
                  <w:r>
                    <w:rPr>
                      <w:rFonts w:hint="eastAsia"/>
                      <w:color w:val="auto"/>
                      <w:highlight w:val="none"/>
                    </w:rPr>
                    <w:t>项目</w:t>
                  </w:r>
                </w:p>
              </w:tc>
              <w:tc>
                <w:tcPr>
                  <w:tcW w:w="789" w:type="pct"/>
                  <w:tcBorders>
                    <w:left w:val="single" w:color="auto" w:sz="4" w:space="0"/>
                  </w:tcBorders>
                  <w:vAlign w:val="center"/>
                </w:tcPr>
                <w:p>
                  <w:pPr>
                    <w:pStyle w:val="63"/>
                    <w:rPr>
                      <w:color w:val="auto"/>
                      <w:highlight w:val="none"/>
                    </w:rPr>
                  </w:pPr>
                  <w:r>
                    <w:rPr>
                      <w:rFonts w:hint="eastAsia"/>
                      <w:color w:val="auto"/>
                      <w:highlight w:val="none"/>
                    </w:rPr>
                    <w:t>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highlight w:val="none"/>
                    </w:rPr>
                  </w:pPr>
                  <w:r>
                    <w:rPr>
                      <w:color w:val="auto"/>
                      <w:kern w:val="0"/>
                      <w:szCs w:val="21"/>
                      <w:highlight w:val="none"/>
                      <w:lang w:bidi="ar"/>
                    </w:rPr>
                    <w:t>1</w:t>
                  </w:r>
                </w:p>
              </w:tc>
              <w:tc>
                <w:tcPr>
                  <w:tcW w:w="1535" w:type="pct"/>
                  <w:vAlign w:val="center"/>
                </w:tcPr>
                <w:p>
                  <w:pPr>
                    <w:widowControl/>
                    <w:jc w:val="center"/>
                    <w:textAlignment w:val="center"/>
                    <w:rPr>
                      <w:color w:val="auto"/>
                      <w:highlight w:val="none"/>
                    </w:rPr>
                  </w:pPr>
                  <w:r>
                    <w:rPr>
                      <w:rFonts w:hint="eastAsia" w:ascii="宋体" w:hAnsi="宋体" w:cs="宋体"/>
                      <w:color w:val="auto"/>
                      <w:kern w:val="0"/>
                      <w:szCs w:val="21"/>
                      <w:highlight w:val="none"/>
                      <w:lang w:bidi="ar"/>
                    </w:rPr>
                    <w:t>铜精矿（非标矿</w:t>
                  </w:r>
                  <w:r>
                    <w:rPr>
                      <w:color w:val="auto"/>
                      <w:kern w:val="0"/>
                      <w:szCs w:val="21"/>
                      <w:highlight w:val="none"/>
                      <w:lang w:bidi="ar"/>
                    </w:rPr>
                    <w:t>A</w:t>
                  </w:r>
                  <w:r>
                    <w:rPr>
                      <w:rFonts w:hint="eastAsia" w:ascii="宋体" w:hAnsi="宋体" w:cs="宋体"/>
                      <w:color w:val="auto"/>
                      <w:kern w:val="0"/>
                      <w:szCs w:val="21"/>
                      <w:highlight w:val="none"/>
                      <w:lang w:bidi="ar"/>
                    </w:rPr>
                    <w:t>矿）</w:t>
                  </w:r>
                </w:p>
              </w:tc>
              <w:tc>
                <w:tcPr>
                  <w:tcW w:w="1096" w:type="dxa"/>
                  <w:vAlign w:val="center"/>
                </w:tcPr>
                <w:p>
                  <w:pPr>
                    <w:keepNext w:val="0"/>
                    <w:keepLines w:val="0"/>
                    <w:widowControl/>
                    <w:suppressLineNumbers w:val="0"/>
                    <w:jc w:val="center"/>
                    <w:textAlignment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183"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铜精矿（标准矿）</w:t>
                  </w:r>
                </w:p>
              </w:tc>
              <w:tc>
                <w:tcPr>
                  <w:tcW w:w="1401"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highlight w:val="none"/>
                    </w:rPr>
                  </w:pPr>
                  <w:r>
                    <w:rPr>
                      <w:color w:val="auto"/>
                      <w:kern w:val="0"/>
                      <w:szCs w:val="21"/>
                      <w:highlight w:val="none"/>
                      <w:lang w:bidi="ar"/>
                    </w:rPr>
                    <w:t>2</w:t>
                  </w:r>
                </w:p>
              </w:tc>
              <w:tc>
                <w:tcPr>
                  <w:tcW w:w="1535" w:type="pct"/>
                  <w:vAlign w:val="center"/>
                </w:tcPr>
                <w:p>
                  <w:pPr>
                    <w:widowControl/>
                    <w:jc w:val="center"/>
                    <w:textAlignment w:val="center"/>
                    <w:rPr>
                      <w:color w:val="auto"/>
                      <w:highlight w:val="none"/>
                    </w:rPr>
                  </w:pPr>
                  <w:r>
                    <w:rPr>
                      <w:rFonts w:hint="eastAsia" w:ascii="宋体" w:hAnsi="宋体" w:cs="宋体"/>
                      <w:color w:val="auto"/>
                      <w:kern w:val="0"/>
                      <w:szCs w:val="21"/>
                      <w:highlight w:val="none"/>
                      <w:lang w:bidi="ar"/>
                    </w:rPr>
                    <w:t>铜精矿（标准矿</w:t>
                  </w:r>
                  <w:r>
                    <w:rPr>
                      <w:color w:val="auto"/>
                      <w:kern w:val="0"/>
                      <w:szCs w:val="21"/>
                      <w:highlight w:val="none"/>
                      <w:lang w:bidi="ar"/>
                    </w:rPr>
                    <w:t>B</w:t>
                  </w:r>
                  <w:r>
                    <w:rPr>
                      <w:rFonts w:hint="eastAsia" w:ascii="宋体" w:hAnsi="宋体" w:cs="宋体"/>
                      <w:color w:val="auto"/>
                      <w:kern w:val="0"/>
                      <w:szCs w:val="21"/>
                      <w:highlight w:val="none"/>
                      <w:lang w:bidi="ar"/>
                    </w:rPr>
                    <w:t>矿）</w:t>
                  </w:r>
                </w:p>
              </w:tc>
              <w:tc>
                <w:tcPr>
                  <w:tcW w:w="1096" w:type="dxa"/>
                  <w:vAlign w:val="center"/>
                </w:tcPr>
                <w:p>
                  <w:pPr>
                    <w:keepNext w:val="0"/>
                    <w:keepLines w:val="0"/>
                    <w:widowControl/>
                    <w:suppressLineNumbers w:val="0"/>
                    <w:jc w:val="center"/>
                    <w:textAlignment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2183"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粉尘排放</w:t>
                  </w:r>
                </w:p>
              </w:tc>
              <w:tc>
                <w:tcPr>
                  <w:tcW w:w="1401" w:type="dxa"/>
                  <w:tcBorders>
                    <w:left w:val="single" w:color="auto" w:sz="4" w:space="0"/>
                  </w:tcBorders>
                  <w:vAlign w:val="center"/>
                </w:tcPr>
                <w:p>
                  <w:pPr>
                    <w:keepNext w:val="0"/>
                    <w:keepLines w:val="0"/>
                    <w:widowControl/>
                    <w:suppressLineNumbers w:val="0"/>
                    <w:jc w:val="center"/>
                    <w:textAlignment w:val="center"/>
                    <w:rPr>
                      <w:rFonts w:hint="default"/>
                      <w:color w:val="auto"/>
                      <w:highlight w:val="none"/>
                      <w:lang w:val="en-US"/>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highlight w:val="none"/>
                    </w:rPr>
                  </w:pPr>
                  <w:r>
                    <w:rPr>
                      <w:color w:val="auto"/>
                      <w:kern w:val="0"/>
                      <w:szCs w:val="21"/>
                      <w:highlight w:val="none"/>
                      <w:lang w:bidi="ar"/>
                    </w:rPr>
                    <w:t>3</w:t>
                  </w:r>
                </w:p>
              </w:tc>
              <w:tc>
                <w:tcPr>
                  <w:tcW w:w="1535" w:type="pct"/>
                  <w:vAlign w:val="center"/>
                </w:tcPr>
                <w:p>
                  <w:pPr>
                    <w:jc w:val="center"/>
                    <w:rPr>
                      <w:rFonts w:hint="eastAsia" w:eastAsia="宋体"/>
                      <w:color w:val="auto"/>
                      <w:highlight w:val="none"/>
                      <w:lang w:val="en-US" w:eastAsia="zh-CN"/>
                    </w:rPr>
                  </w:pPr>
                  <w:r>
                    <w:rPr>
                      <w:rFonts w:hint="eastAsia"/>
                      <w:color w:val="auto"/>
                      <w:highlight w:val="none"/>
                      <w:lang w:val="en-US" w:eastAsia="zh-CN"/>
                    </w:rPr>
                    <w:t>除尘水</w:t>
                  </w:r>
                </w:p>
              </w:tc>
              <w:tc>
                <w:tcPr>
                  <w:tcW w:w="1096" w:type="dxa"/>
                  <w:vAlign w:val="center"/>
                </w:tcPr>
                <w:p>
                  <w:pPr>
                    <w:keepNext w:val="0"/>
                    <w:keepLines w:val="0"/>
                    <w:widowControl/>
                    <w:suppressLineNumbers w:val="0"/>
                    <w:jc w:val="center"/>
                    <w:textAlignment w:val="center"/>
                    <w:rPr>
                      <w:rFonts w:hint="default" w:eastAsia="宋体"/>
                      <w:color w:val="auto"/>
                      <w:highlight w:val="none"/>
                      <w:lang w:val="en-US" w:eastAsia="zh-CN"/>
                    </w:rPr>
                  </w:pPr>
                </w:p>
              </w:tc>
              <w:tc>
                <w:tcPr>
                  <w:tcW w:w="730"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2183"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布袋除尘收集粉尘</w:t>
                  </w:r>
                </w:p>
              </w:tc>
              <w:tc>
                <w:tcPr>
                  <w:tcW w:w="1401" w:type="dxa"/>
                  <w:tcBorders>
                    <w:left w:val="single" w:color="auto" w:sz="4" w:space="0"/>
                  </w:tcBorders>
                  <w:vAlign w:val="center"/>
                </w:tcPr>
                <w:p>
                  <w:pPr>
                    <w:keepNext w:val="0"/>
                    <w:keepLines w:val="0"/>
                    <w:widowControl/>
                    <w:suppressLineNumbers w:val="0"/>
                    <w:jc w:val="center"/>
                    <w:textAlignment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highlight w:val="none"/>
                    </w:rPr>
                  </w:pPr>
                  <w:r>
                    <w:rPr>
                      <w:color w:val="auto"/>
                      <w:kern w:val="0"/>
                      <w:szCs w:val="21"/>
                      <w:highlight w:val="none"/>
                      <w:lang w:bidi="ar"/>
                    </w:rPr>
                    <w:t>4</w:t>
                  </w:r>
                </w:p>
              </w:tc>
              <w:tc>
                <w:tcPr>
                  <w:tcW w:w="1535" w:type="pct"/>
                  <w:vAlign w:val="center"/>
                </w:tcPr>
                <w:p>
                  <w:pPr>
                    <w:jc w:val="center"/>
                    <w:rPr>
                      <w:color w:val="auto"/>
                      <w:highlight w:val="none"/>
                    </w:rPr>
                  </w:pPr>
                </w:p>
              </w:tc>
              <w:tc>
                <w:tcPr>
                  <w:tcW w:w="1096" w:type="dxa"/>
                  <w:vAlign w:val="center"/>
                </w:tcPr>
                <w:p>
                  <w:pPr>
                    <w:jc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2183"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eastAsia" w:ascii="宋体" w:hAnsi="宋体" w:eastAsia="宋体" w:cs="宋体"/>
                      <w:i w:val="0"/>
                      <w:iCs w:val="0"/>
                      <w:color w:val="auto"/>
                      <w:kern w:val="0"/>
                      <w:sz w:val="21"/>
                      <w:szCs w:val="21"/>
                      <w:highlight w:val="none"/>
                      <w:u w:val="none"/>
                      <w:lang w:val="en-US" w:eastAsia="zh-CN" w:bidi="ar"/>
                    </w:rPr>
                    <w:t>地面沉降收集粉尘</w:t>
                  </w:r>
                </w:p>
              </w:tc>
              <w:tc>
                <w:tcPr>
                  <w:tcW w:w="1401" w:type="dxa"/>
                  <w:tcBorders>
                    <w:left w:val="single" w:color="auto" w:sz="4" w:space="0"/>
                  </w:tcBorders>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kern w:val="0"/>
                      <w:szCs w:val="21"/>
                      <w:highlight w:val="none"/>
                      <w:lang w:bidi="ar"/>
                    </w:rPr>
                  </w:pPr>
                </w:p>
              </w:tc>
              <w:tc>
                <w:tcPr>
                  <w:tcW w:w="1535" w:type="pct"/>
                  <w:vAlign w:val="center"/>
                </w:tcPr>
                <w:p>
                  <w:pPr>
                    <w:jc w:val="center"/>
                    <w:rPr>
                      <w:color w:val="auto"/>
                      <w:highlight w:val="none"/>
                    </w:rPr>
                  </w:pPr>
                </w:p>
              </w:tc>
              <w:tc>
                <w:tcPr>
                  <w:tcW w:w="1096" w:type="dxa"/>
                  <w:vAlign w:val="center"/>
                </w:tcPr>
                <w:p>
                  <w:pPr>
                    <w:jc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rFonts w:hint="eastAsia" w:eastAsia="宋体"/>
                      <w:color w:val="auto"/>
                      <w:kern w:val="0"/>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2183" w:type="dxa"/>
                  <w:tcBorders>
                    <w:left w:val="single" w:color="auto" w:sz="4" w:space="0"/>
                  </w:tcBorders>
                  <w:vAlign w:val="center"/>
                </w:tcPr>
                <w:p>
                  <w:pPr>
                    <w:keepNext w:val="0"/>
                    <w:keepLines w:val="0"/>
                    <w:widowControl/>
                    <w:suppressLineNumbers w:val="0"/>
                    <w:jc w:val="center"/>
                    <w:textAlignment w:val="center"/>
                    <w:rPr>
                      <w:rFonts w:hint="default" w:ascii="宋体" w:hAnsi="宋体" w:eastAsia="宋体" w:cs="宋体"/>
                      <w:color w:val="auto"/>
                      <w:kern w:val="0"/>
                      <w:szCs w:val="21"/>
                      <w:highlight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沉淀池沉渣</w:t>
                  </w:r>
                </w:p>
              </w:tc>
              <w:tc>
                <w:tcPr>
                  <w:tcW w:w="1401"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kern w:val="0"/>
                      <w:szCs w:val="21"/>
                      <w:highlight w:val="none"/>
                      <w:lang w:bidi="ar"/>
                    </w:rPr>
                  </w:pPr>
                </w:p>
              </w:tc>
              <w:tc>
                <w:tcPr>
                  <w:tcW w:w="1535" w:type="pct"/>
                  <w:vAlign w:val="center"/>
                </w:tcPr>
                <w:p>
                  <w:pPr>
                    <w:jc w:val="center"/>
                    <w:rPr>
                      <w:color w:val="auto"/>
                      <w:highlight w:val="none"/>
                    </w:rPr>
                  </w:pPr>
                </w:p>
              </w:tc>
              <w:tc>
                <w:tcPr>
                  <w:tcW w:w="1096" w:type="dxa"/>
                  <w:vAlign w:val="center"/>
                </w:tcPr>
                <w:p>
                  <w:pPr>
                    <w:jc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2183" w:type="dxa"/>
                  <w:tcBorders>
                    <w:left w:val="single" w:color="auto" w:sz="4" w:space="0"/>
                  </w:tcBorders>
                  <w:vAlign w:val="center"/>
                </w:tcPr>
                <w:p>
                  <w:pPr>
                    <w:keepNext w:val="0"/>
                    <w:keepLines w:val="0"/>
                    <w:widowControl/>
                    <w:suppressLineNumbers w:val="0"/>
                    <w:jc w:val="center"/>
                    <w:textAlignment w:val="center"/>
                    <w:rPr>
                      <w:rFonts w:hint="eastAsia" w:ascii="宋体" w:hAnsi="宋体" w:cs="宋体"/>
                      <w:color w:val="auto"/>
                      <w:kern w:val="0"/>
                      <w:szCs w:val="21"/>
                      <w:highlight w:val="none"/>
                      <w:u w:val="none"/>
                      <w:lang w:bidi="ar"/>
                    </w:rPr>
                  </w:pPr>
                  <w:r>
                    <w:rPr>
                      <w:rFonts w:hint="eastAsia" w:ascii="宋体" w:hAnsi="宋体" w:eastAsia="宋体" w:cs="宋体"/>
                      <w:i w:val="0"/>
                      <w:iCs w:val="0"/>
                      <w:color w:val="auto"/>
                      <w:kern w:val="0"/>
                      <w:sz w:val="21"/>
                      <w:szCs w:val="21"/>
                      <w:highlight w:val="none"/>
                      <w:u w:val="none"/>
                      <w:lang w:val="en-US" w:eastAsia="zh-CN" w:bidi="ar"/>
                    </w:rPr>
                    <w:t>水分蒸发</w:t>
                  </w:r>
                </w:p>
              </w:tc>
              <w:tc>
                <w:tcPr>
                  <w:tcW w:w="1401" w:type="dxa"/>
                  <w:tcBorders>
                    <w:left w:val="single" w:color="auto" w:sz="4" w:space="0"/>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kern w:val="0"/>
                      <w:szCs w:val="21"/>
                      <w:highlight w:val="none"/>
                      <w:lang w:bidi="ar"/>
                    </w:rPr>
                  </w:pPr>
                </w:p>
              </w:tc>
              <w:tc>
                <w:tcPr>
                  <w:tcW w:w="1535" w:type="pct"/>
                  <w:vAlign w:val="center"/>
                </w:tcPr>
                <w:p>
                  <w:pPr>
                    <w:jc w:val="center"/>
                    <w:rPr>
                      <w:color w:val="auto"/>
                      <w:highlight w:val="none"/>
                    </w:rPr>
                  </w:pPr>
                </w:p>
              </w:tc>
              <w:tc>
                <w:tcPr>
                  <w:tcW w:w="1096" w:type="dxa"/>
                  <w:vAlign w:val="center"/>
                </w:tcPr>
                <w:p>
                  <w:pPr>
                    <w:keepNext w:val="0"/>
                    <w:keepLines w:val="0"/>
                    <w:widowControl/>
                    <w:suppressLineNumbers w:val="0"/>
                    <w:jc w:val="center"/>
                    <w:textAlignment w:val="center"/>
                    <w:rPr>
                      <w:color w:val="auto"/>
                      <w:highlight w:val="none"/>
                    </w:rPr>
                  </w:pPr>
                </w:p>
              </w:tc>
              <w:tc>
                <w:tcPr>
                  <w:tcW w:w="730"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eastAsia="宋体" w:cs="Times New Roman"/>
                      <w:i w:val="0"/>
                      <w:iCs w:val="0"/>
                      <w:color w:val="auto"/>
                      <w:kern w:val="0"/>
                      <w:sz w:val="21"/>
                      <w:szCs w:val="21"/>
                      <w:highlight w:val="none"/>
                      <w:u w:val="none"/>
                      <w:lang w:val="en-US" w:eastAsia="zh-CN" w:bidi="ar"/>
                    </w:rPr>
                    <w:t>7</w:t>
                  </w:r>
                </w:p>
              </w:tc>
              <w:tc>
                <w:tcPr>
                  <w:tcW w:w="2183" w:type="dxa"/>
                  <w:tcBorders>
                    <w:lef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制样室取样</w:t>
                  </w:r>
                </w:p>
              </w:tc>
              <w:tc>
                <w:tcPr>
                  <w:tcW w:w="1401" w:type="dxa"/>
                  <w:tcBorders>
                    <w:left w:val="single" w:color="auto" w:sz="4" w:space="0"/>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8" w:hRule="atLeast"/>
                <w:jc w:val="center"/>
              </w:trPr>
              <w:tc>
                <w:tcPr>
                  <w:tcW w:w="412" w:type="pct"/>
                  <w:vAlign w:val="center"/>
                </w:tcPr>
                <w:p>
                  <w:pPr>
                    <w:widowControl/>
                    <w:jc w:val="center"/>
                    <w:textAlignment w:val="center"/>
                    <w:rPr>
                      <w:color w:val="auto"/>
                      <w:highlight w:val="none"/>
                    </w:rPr>
                  </w:pPr>
                  <w:r>
                    <w:rPr>
                      <w:rFonts w:hint="eastAsia" w:ascii="宋体" w:hAnsi="宋体" w:cs="宋体"/>
                      <w:color w:val="auto"/>
                      <w:kern w:val="0"/>
                      <w:szCs w:val="21"/>
                      <w:highlight w:val="none"/>
                      <w:lang w:bidi="ar"/>
                    </w:rPr>
                    <w:t>合计</w:t>
                  </w:r>
                </w:p>
              </w:tc>
              <w:tc>
                <w:tcPr>
                  <w:tcW w:w="1535" w:type="pct"/>
                  <w:vAlign w:val="center"/>
                </w:tcPr>
                <w:p>
                  <w:pPr>
                    <w:jc w:val="center"/>
                    <w:rPr>
                      <w:color w:val="auto"/>
                      <w:highlight w:val="none"/>
                    </w:rPr>
                  </w:pPr>
                </w:p>
              </w:tc>
              <w:tc>
                <w:tcPr>
                  <w:tcW w:w="1097" w:type="dxa"/>
                  <w:vAlign w:val="center"/>
                </w:tcPr>
                <w:p>
                  <w:pPr>
                    <w:keepNext w:val="0"/>
                    <w:keepLines w:val="0"/>
                    <w:widowControl/>
                    <w:suppressLineNumbers w:val="0"/>
                    <w:jc w:val="center"/>
                    <w:textAlignment w:val="center"/>
                    <w:rPr>
                      <w:color w:val="auto"/>
                      <w:highlight w:val="none"/>
                    </w:rPr>
                  </w:pPr>
                </w:p>
              </w:tc>
              <w:tc>
                <w:tcPr>
                  <w:tcW w:w="730" w:type="dxa"/>
                  <w:tcBorders>
                    <w:left w:val="single" w:color="auto" w:sz="4" w:space="0"/>
                  </w:tcBorders>
                  <w:vAlign w:val="center"/>
                </w:tcPr>
                <w:p>
                  <w:pPr>
                    <w:jc w:val="center"/>
                    <w:rPr>
                      <w:color w:val="auto"/>
                      <w:highlight w:val="none"/>
                    </w:rPr>
                  </w:pPr>
                </w:p>
              </w:tc>
              <w:tc>
                <w:tcPr>
                  <w:tcW w:w="2183" w:type="dxa"/>
                  <w:tcBorders>
                    <w:left w:val="single" w:color="auto" w:sz="4" w:space="0"/>
                  </w:tcBorders>
                  <w:vAlign w:val="center"/>
                </w:tcPr>
                <w:p>
                  <w:pPr>
                    <w:jc w:val="center"/>
                    <w:rPr>
                      <w:color w:val="auto"/>
                      <w:highlight w:val="none"/>
                    </w:rPr>
                  </w:pPr>
                </w:p>
              </w:tc>
              <w:tc>
                <w:tcPr>
                  <w:tcW w:w="1401" w:type="dxa"/>
                  <w:tcBorders>
                    <w:left w:val="single" w:color="auto" w:sz="4" w:space="0"/>
                  </w:tcBorders>
                  <w:vAlign w:val="center"/>
                </w:tcPr>
                <w:p>
                  <w:pPr>
                    <w:keepNext w:val="0"/>
                    <w:keepLines w:val="0"/>
                    <w:widowControl/>
                    <w:suppressLineNumbers w:val="0"/>
                    <w:jc w:val="center"/>
                    <w:textAlignment w:val="center"/>
                    <w:rPr>
                      <w:color w:val="auto"/>
                      <w:highlight w:val="none"/>
                    </w:rPr>
                  </w:pPr>
                </w:p>
              </w:tc>
            </w:tr>
          </w:tbl>
          <w:p>
            <w:pPr>
              <w:pStyle w:val="33"/>
              <w:jc w:val="left"/>
              <w:rPr>
                <w:color w:val="auto"/>
                <w:highlight w:val="none"/>
              </w:rPr>
            </w:pPr>
            <w:r>
              <w:rPr>
                <w:rFonts w:hint="eastAsia" w:ascii="宋体" w:hAnsi="宋体" w:eastAsia="宋体" w:cs="宋体"/>
                <w:b w:val="0"/>
                <w:color w:val="auto"/>
                <w:sz w:val="18"/>
                <w:szCs w:val="18"/>
                <w:highlight w:val="none"/>
              </w:rPr>
              <w:t>*</w:t>
            </w:r>
            <w:r>
              <w:rPr>
                <w:rFonts w:eastAsia="宋体"/>
                <w:b w:val="0"/>
                <w:color w:val="auto"/>
                <w:sz w:val="18"/>
                <w:szCs w:val="18"/>
                <w:highlight w:val="none"/>
              </w:rPr>
              <w:t>注：原料含水率最高约%，产品含水率约</w:t>
            </w:r>
            <w:r>
              <w:rPr>
                <w:rFonts w:hint="eastAsia" w:eastAsia="宋体"/>
                <w:b w:val="0"/>
                <w:color w:val="auto"/>
                <w:sz w:val="18"/>
                <w:szCs w:val="18"/>
                <w:highlight w:val="none"/>
                <w:lang w:val="en-US" w:eastAsia="zh-CN"/>
              </w:rPr>
              <w:t xml:space="preserve"> </w:t>
            </w:r>
            <w:r>
              <w:rPr>
                <w:rFonts w:eastAsia="宋体"/>
                <w:b w:val="0"/>
                <w:color w:val="auto"/>
                <w:sz w:val="18"/>
                <w:szCs w:val="18"/>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9" w:hRule="atLeast"/>
          <w:jc w:val="center"/>
        </w:trPr>
        <w:tc>
          <w:tcPr>
            <w:tcW w:w="268" w:type="pct"/>
            <w:vAlign w:val="center"/>
          </w:tcPr>
          <w:p>
            <w:pPr>
              <w:pStyle w:val="16"/>
              <w:adjustRightInd w:val="0"/>
              <w:snapToGrid w:val="0"/>
              <w:spacing w:before="0" w:beforeAutospacing="0" w:after="0" w:afterAutospacing="0"/>
              <w:jc w:val="center"/>
              <w:rPr>
                <w:rFonts w:hint="eastAsia" w:cs="宋体"/>
                <w:color w:val="auto"/>
                <w:sz w:val="21"/>
                <w:szCs w:val="21"/>
                <w:highlight w:val="none"/>
              </w:rPr>
            </w:pPr>
            <w:r>
              <w:rPr>
                <w:rFonts w:hint="eastAsia" w:cs="宋体"/>
                <w:bCs/>
                <w:color w:val="auto"/>
                <w:kern w:val="2"/>
                <w:sz w:val="21"/>
                <w:szCs w:val="21"/>
                <w:highlight w:val="none"/>
              </w:rPr>
              <w:t>与项目有关的原有环境污染问题</w:t>
            </w:r>
          </w:p>
        </w:tc>
        <w:tc>
          <w:tcPr>
            <w:tcW w:w="4731" w:type="pct"/>
          </w:tcPr>
          <w:p>
            <w:pPr>
              <w:pStyle w:val="32"/>
              <w:bidi w:val="0"/>
              <w:rPr>
                <w:color w:val="auto"/>
                <w:highlight w:val="none"/>
              </w:rPr>
            </w:pPr>
            <w:r>
              <w:rPr>
                <w:rFonts w:hint="eastAsia" w:ascii="Times New Roman" w:hAnsi="Times New Roman" w:eastAsia="宋体" w:cs="Times New Roman"/>
                <w:color w:val="auto"/>
                <w:spacing w:val="1"/>
                <w:sz w:val="24"/>
                <w:szCs w:val="24"/>
                <w:highlight w:val="none"/>
                <w:u w:val="none" w:color="auto"/>
                <w:lang w:val="en-US" w:eastAsia="zh-CN"/>
              </w:rPr>
              <w:t>本项目为新建项目，</w:t>
            </w:r>
            <w:r>
              <w:rPr>
                <w:rFonts w:hint="eastAsia" w:cs="Times New Roman"/>
                <w:color w:val="auto"/>
                <w:spacing w:val="1"/>
                <w:sz w:val="24"/>
                <w:szCs w:val="24"/>
                <w:highlight w:val="none"/>
                <w:u w:val="none" w:color="auto"/>
                <w:lang w:val="en-US" w:eastAsia="zh-CN"/>
              </w:rPr>
              <w:t>不存在</w:t>
            </w:r>
            <w:r>
              <w:rPr>
                <w:rFonts w:hint="eastAsia" w:ascii="Times New Roman" w:hAnsi="Times New Roman" w:eastAsia="宋体" w:cs="Times New Roman"/>
                <w:color w:val="auto"/>
                <w:spacing w:val="1"/>
                <w:sz w:val="24"/>
                <w:szCs w:val="24"/>
                <w:highlight w:val="none"/>
                <w:u w:val="none" w:color="auto"/>
                <w:lang w:val="en-US" w:eastAsia="zh-CN"/>
              </w:rPr>
              <w:t>与项目有关的原有环境污染问题。</w:t>
            </w:r>
          </w:p>
        </w:tc>
      </w:tr>
    </w:tbl>
    <w:p>
      <w:pPr>
        <w:rPr>
          <w:color w:val="auto"/>
          <w:highlight w:val="none"/>
        </w:rPr>
        <w:sectPr>
          <w:pgSz w:w="11906" w:h="16838"/>
          <w:pgMar w:top="1417" w:right="1304" w:bottom="1304" w:left="1304" w:header="851" w:footer="992" w:gutter="0"/>
          <w:cols w:space="425" w:num="1"/>
          <w:docGrid w:type="lines" w:linePitch="312" w:charSpace="0"/>
        </w:sectPr>
      </w:pPr>
    </w:p>
    <w:p>
      <w:pPr>
        <w:pStyle w:val="16"/>
        <w:numPr>
          <w:ilvl w:val="255"/>
          <w:numId w:val="0"/>
        </w:numPr>
        <w:ind w:left="79"/>
        <w:jc w:val="center"/>
        <w:outlineLvl w:val="0"/>
        <w:rPr>
          <w:rFonts w:hint="eastAsia" w:ascii="黑体" w:hAnsi="黑体" w:eastAsia="黑体"/>
          <w:snapToGrid w:val="0"/>
          <w:color w:val="auto"/>
          <w:sz w:val="30"/>
          <w:szCs w:val="30"/>
          <w:highlight w:val="none"/>
        </w:rPr>
      </w:pPr>
      <w:bookmarkStart w:id="8" w:name="_Toc25817"/>
      <w:bookmarkStart w:id="9" w:name="_Toc12231"/>
      <w:r>
        <w:rPr>
          <w:rFonts w:hint="eastAsia" w:ascii="黑体" w:hAnsi="黑体" w:eastAsia="黑体"/>
          <w:snapToGrid w:val="0"/>
          <w:color w:val="auto"/>
          <w:sz w:val="30"/>
          <w:szCs w:val="30"/>
          <w:highlight w:val="none"/>
        </w:rPr>
        <w:t>三、区域环境质量现状、环境保护目标及评价标准</w:t>
      </w:r>
      <w:bookmarkEnd w:id="8"/>
      <w:bookmarkEnd w:id="9"/>
    </w:p>
    <w:tbl>
      <w:tblPr>
        <w:tblStyle w:val="20"/>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1"/>
        <w:gridCol w:w="868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7" w:hRule="atLeast"/>
          <w:jc w:val="center"/>
        </w:trPr>
        <w:tc>
          <w:tcPr>
            <w:tcW w:w="437" w:type="pct"/>
            <w:vAlign w:val="center"/>
          </w:tcPr>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区域</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质量</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highlight w:val="none"/>
              </w:rPr>
              <w:t>现状</w:t>
            </w:r>
          </w:p>
        </w:tc>
        <w:tc>
          <w:tcPr>
            <w:tcW w:w="4562"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3.1区域环境质量现状</w:t>
            </w:r>
          </w:p>
          <w:p>
            <w:pPr>
              <w:pStyle w:val="29"/>
              <w:rPr>
                <w:color w:val="auto"/>
                <w:highlight w:val="none"/>
              </w:rPr>
            </w:pPr>
            <w:r>
              <w:rPr>
                <w:rFonts w:hint="eastAsia"/>
                <w:color w:val="auto"/>
                <w:highlight w:val="none"/>
              </w:rPr>
              <w:t>3.1.1 大气环境现状调查与评价</w:t>
            </w:r>
          </w:p>
          <w:p>
            <w:pPr>
              <w:pStyle w:val="42"/>
              <w:keepNext w:val="0"/>
              <w:keepLines w:val="0"/>
              <w:rPr>
                <w:color w:val="auto"/>
                <w:highlight w:val="none"/>
              </w:rPr>
            </w:pPr>
            <w:r>
              <w:rPr>
                <w:rFonts w:hint="eastAsia"/>
                <w:color w:val="auto"/>
                <w:highlight w:val="none"/>
              </w:rPr>
              <w:t>3.1.1.1 环境功能区划及环境质量标准</w:t>
            </w:r>
          </w:p>
          <w:p>
            <w:pPr>
              <w:pStyle w:val="47"/>
              <w:rPr>
                <w:color w:val="auto"/>
                <w:highlight w:val="none"/>
              </w:rPr>
            </w:pPr>
            <w:r>
              <w:rPr>
                <w:rFonts w:hint="eastAsia"/>
                <w:color w:val="auto"/>
                <w:highlight w:val="none"/>
              </w:rPr>
              <w:t>项目所在区域环境空气功能区划为二类区，</w:t>
            </w:r>
            <w:r>
              <w:rPr>
                <w:rFonts w:hint="eastAsia"/>
                <w:color w:val="auto"/>
                <w:highlight w:val="none"/>
                <w:lang w:val="en-US"/>
              </w:rPr>
              <w:t>基本项目</w:t>
            </w:r>
            <w:r>
              <w:rPr>
                <w:rFonts w:hint="eastAsia"/>
                <w:color w:val="auto"/>
                <w:highlight w:val="none"/>
              </w:rPr>
              <w:t>执行《环境空气质量标准》（</w:t>
            </w:r>
            <w:r>
              <w:rPr>
                <w:color w:val="auto"/>
                <w:highlight w:val="none"/>
              </w:rPr>
              <w:t>GB3095-20</w:t>
            </w:r>
            <w:r>
              <w:rPr>
                <w:rFonts w:hint="eastAsia"/>
                <w:color w:val="auto"/>
                <w:highlight w:val="none"/>
                <w:lang w:val="en-US"/>
              </w:rPr>
              <w:t>26</w:t>
            </w:r>
            <w:r>
              <w:rPr>
                <w:rFonts w:hint="eastAsia"/>
                <w:color w:val="auto"/>
                <w:highlight w:val="none"/>
              </w:rPr>
              <w:t>）</w:t>
            </w:r>
            <w:r>
              <w:rPr>
                <w:rFonts w:hint="eastAsia"/>
                <w:color w:val="auto"/>
                <w:highlight w:val="none"/>
                <w:lang w:val="en-US"/>
              </w:rPr>
              <w:t>表1</w:t>
            </w:r>
            <w:r>
              <w:rPr>
                <w:rFonts w:hint="eastAsia"/>
                <w:color w:val="auto"/>
                <w:highlight w:val="none"/>
              </w:rPr>
              <w:t>中的</w:t>
            </w:r>
            <w:r>
              <w:rPr>
                <w:rFonts w:hint="eastAsia"/>
                <w:color w:val="auto"/>
                <w:highlight w:val="none"/>
                <w:lang w:val="en-US"/>
              </w:rPr>
              <w:t>过渡阶段浓度限值中</w:t>
            </w:r>
            <w:r>
              <w:rPr>
                <w:rFonts w:hint="eastAsia"/>
                <w:color w:val="auto"/>
                <w:highlight w:val="none"/>
              </w:rPr>
              <w:t>二级标准，</w:t>
            </w:r>
            <w:r>
              <w:rPr>
                <w:rFonts w:hint="eastAsia"/>
                <w:color w:val="auto"/>
                <w:highlight w:val="none"/>
                <w:lang w:val="en-US"/>
              </w:rPr>
              <w:t>TSP执行表2中的</w:t>
            </w:r>
            <w:r>
              <w:rPr>
                <w:rFonts w:hint="eastAsia"/>
                <w:color w:val="auto"/>
                <w:highlight w:val="none"/>
              </w:rPr>
              <w:t>二级标准</w:t>
            </w:r>
            <w:r>
              <w:rPr>
                <w:rFonts w:hint="eastAsia"/>
                <w:color w:val="auto"/>
                <w:highlight w:val="none"/>
                <w:lang w:val="en-US"/>
              </w:rPr>
              <w:t>，</w:t>
            </w:r>
            <w:r>
              <w:rPr>
                <w:rFonts w:hint="eastAsia"/>
                <w:color w:val="auto"/>
                <w:highlight w:val="none"/>
              </w:rPr>
              <w:t>具体详见表</w:t>
            </w:r>
            <w:r>
              <w:rPr>
                <w:rFonts w:hint="eastAsia"/>
                <w:color w:val="auto"/>
                <w:highlight w:val="none"/>
                <w:lang w:val="en-US"/>
              </w:rPr>
              <w:t>3.1.1</w:t>
            </w:r>
            <w:r>
              <w:rPr>
                <w:rFonts w:hint="eastAsia"/>
                <w:color w:val="auto"/>
                <w:highlight w:val="none"/>
              </w:rPr>
              <w:t>。</w:t>
            </w:r>
          </w:p>
          <w:p>
            <w:pPr>
              <w:pStyle w:val="33"/>
              <w:rPr>
                <w:color w:val="auto"/>
                <w:highlight w:val="none"/>
              </w:rPr>
            </w:pPr>
            <w:r>
              <w:rPr>
                <w:rFonts w:hint="eastAsia"/>
                <w:color w:val="auto"/>
                <w:highlight w:val="none"/>
              </w:rPr>
              <w:t>表3.1.1  环境空气质量标准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514"/>
              <w:gridCol w:w="1542"/>
              <w:gridCol w:w="1377"/>
              <w:gridCol w:w="1241"/>
              <w:gridCol w:w="1241"/>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污染物</w:t>
                  </w:r>
                </w:p>
                <w:p>
                  <w:pPr>
                    <w:pStyle w:val="48"/>
                    <w:rPr>
                      <w:color w:val="auto"/>
                      <w:szCs w:val="21"/>
                      <w:highlight w:val="none"/>
                    </w:rPr>
                  </w:pPr>
                  <w:r>
                    <w:rPr>
                      <w:color w:val="auto"/>
                      <w:szCs w:val="21"/>
                      <w:highlight w:val="none"/>
                    </w:rPr>
                    <w:t>名称</w:t>
                  </w:r>
                </w:p>
              </w:tc>
              <w:tc>
                <w:tcPr>
                  <w:tcW w:w="1726" w:type="pct"/>
                  <w:gridSpan w:val="2"/>
                  <w:vAlign w:val="center"/>
                </w:tcPr>
                <w:p>
                  <w:pPr>
                    <w:pStyle w:val="48"/>
                    <w:rPr>
                      <w:color w:val="auto"/>
                      <w:szCs w:val="21"/>
                      <w:highlight w:val="none"/>
                    </w:rPr>
                  </w:pPr>
                  <w:r>
                    <w:rPr>
                      <w:rFonts w:hint="eastAsia"/>
                      <w:color w:val="auto"/>
                      <w:szCs w:val="21"/>
                      <w:highlight w:val="none"/>
                    </w:rPr>
                    <w:t>过渡阶段</w:t>
                  </w:r>
                  <w:r>
                    <w:rPr>
                      <w:color w:val="auto"/>
                      <w:szCs w:val="21"/>
                      <w:highlight w:val="none"/>
                    </w:rPr>
                    <w:t>浓度限值</w:t>
                  </w:r>
                </w:p>
              </w:tc>
              <w:tc>
                <w:tcPr>
                  <w:tcW w:w="1468" w:type="pct"/>
                  <w:gridSpan w:val="2"/>
                  <w:vAlign w:val="center"/>
                </w:tcPr>
                <w:p>
                  <w:pPr>
                    <w:pStyle w:val="48"/>
                    <w:rPr>
                      <w:rFonts w:hint="default" w:eastAsia="宋体"/>
                      <w:color w:val="auto"/>
                      <w:szCs w:val="21"/>
                      <w:highlight w:val="none"/>
                      <w:lang w:val="en-US" w:eastAsia="zh-CN"/>
                    </w:rPr>
                  </w:pPr>
                  <w:r>
                    <w:rPr>
                      <w:rFonts w:hint="eastAsia"/>
                      <w:color w:val="auto"/>
                      <w:szCs w:val="21"/>
                      <w:highlight w:val="none"/>
                      <w:lang w:val="en-US" w:eastAsia="zh-CN"/>
                    </w:rPr>
                    <w:t>浓度限值</w:t>
                  </w:r>
                </w:p>
              </w:tc>
              <w:tc>
                <w:tcPr>
                  <w:tcW w:w="909" w:type="pct"/>
                  <w:vMerge w:val="restart"/>
                  <w:vAlign w:val="center"/>
                </w:tcPr>
                <w:p>
                  <w:pPr>
                    <w:pStyle w:val="48"/>
                    <w:rPr>
                      <w:color w:val="auto"/>
                      <w:szCs w:val="21"/>
                      <w:highlight w:val="none"/>
                    </w:rPr>
                  </w:pPr>
                  <w:r>
                    <w:rPr>
                      <w:color w:val="auto"/>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color w:val="auto"/>
                      <w:szCs w:val="21"/>
                      <w:highlight w:val="none"/>
                    </w:rPr>
                    <w:t>取值时间</w:t>
                  </w:r>
                </w:p>
              </w:tc>
              <w:tc>
                <w:tcPr>
                  <w:tcW w:w="814" w:type="pct"/>
                  <w:vAlign w:val="center"/>
                </w:tcPr>
                <w:p>
                  <w:pPr>
                    <w:pStyle w:val="48"/>
                    <w:rPr>
                      <w:color w:val="auto"/>
                      <w:szCs w:val="21"/>
                      <w:highlight w:val="none"/>
                    </w:rPr>
                  </w:pPr>
                  <w:r>
                    <w:rPr>
                      <w:color w:val="auto"/>
                      <w:szCs w:val="21"/>
                      <w:highlight w:val="none"/>
                    </w:rPr>
                    <w:t>标准值</w:t>
                  </w:r>
                </w:p>
              </w:tc>
              <w:tc>
                <w:tcPr>
                  <w:tcW w:w="734" w:type="pct"/>
                  <w:vAlign w:val="center"/>
                </w:tcPr>
                <w:p>
                  <w:pPr>
                    <w:pStyle w:val="48"/>
                    <w:rPr>
                      <w:color w:val="auto"/>
                      <w:szCs w:val="21"/>
                      <w:highlight w:val="none"/>
                    </w:rPr>
                  </w:pPr>
                  <w:r>
                    <w:rPr>
                      <w:color w:val="auto"/>
                      <w:szCs w:val="21"/>
                      <w:highlight w:val="none"/>
                    </w:rPr>
                    <w:t>取值时间</w:t>
                  </w:r>
                </w:p>
              </w:tc>
              <w:tc>
                <w:tcPr>
                  <w:tcW w:w="734" w:type="pct"/>
                  <w:vAlign w:val="center"/>
                </w:tcPr>
                <w:p>
                  <w:pPr>
                    <w:pStyle w:val="48"/>
                    <w:rPr>
                      <w:color w:val="auto"/>
                      <w:szCs w:val="21"/>
                      <w:highlight w:val="none"/>
                    </w:rPr>
                  </w:pPr>
                  <w:r>
                    <w:rPr>
                      <w:color w:val="auto"/>
                      <w:szCs w:val="21"/>
                      <w:highlight w:val="none"/>
                    </w:rPr>
                    <w:t>标准值</w:t>
                  </w: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PM</w:t>
                  </w:r>
                  <w:r>
                    <w:rPr>
                      <w:color w:val="auto"/>
                      <w:szCs w:val="21"/>
                      <w:highlight w:val="none"/>
                      <w:vertAlign w:val="subscript"/>
                    </w:rPr>
                    <w:t>10</w:t>
                  </w:r>
                </w:p>
              </w:tc>
              <w:tc>
                <w:tcPr>
                  <w:tcW w:w="912" w:type="pct"/>
                  <w:vAlign w:val="center"/>
                </w:tcPr>
                <w:p>
                  <w:pPr>
                    <w:pStyle w:val="48"/>
                    <w:rPr>
                      <w:color w:val="auto"/>
                      <w:szCs w:val="21"/>
                      <w:highlight w:val="none"/>
                    </w:rPr>
                  </w:pPr>
                  <w:r>
                    <w:rPr>
                      <w:color w:val="auto"/>
                      <w:szCs w:val="21"/>
                      <w:highlight w:val="none"/>
                    </w:rPr>
                    <w:t>年平均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restart"/>
                  <w:vAlign w:val="center"/>
                </w:tcPr>
                <w:p>
                  <w:pPr>
                    <w:pStyle w:val="48"/>
                    <w:rPr>
                      <w:color w:val="auto"/>
                      <w:szCs w:val="21"/>
                      <w:highlight w:val="none"/>
                    </w:rPr>
                  </w:pPr>
                  <w:r>
                    <w:rPr>
                      <w:rFonts w:hint="eastAsia"/>
                      <w:color w:val="auto"/>
                      <w:szCs w:val="21"/>
                      <w:highlight w:val="none"/>
                    </w:rPr>
                    <w:t>《环境空气质量标准》</w:t>
                  </w:r>
                  <w:r>
                    <w:rPr>
                      <w:rStyle w:val="25"/>
                      <w:rFonts w:hint="eastAsia"/>
                      <w:iCs w:val="0"/>
                      <w:color w:val="auto"/>
                      <w:szCs w:val="20"/>
                      <w:highlight w:val="none"/>
                    </w:rPr>
                    <w:t>（</w:t>
                  </w:r>
                  <w:r>
                    <w:rPr>
                      <w:color w:val="auto"/>
                      <w:szCs w:val="21"/>
                      <w:highlight w:val="none"/>
                    </w:rPr>
                    <w:t>GB3095-20</w:t>
                  </w:r>
                  <w:r>
                    <w:rPr>
                      <w:rFonts w:hint="eastAsia"/>
                      <w:color w:val="auto"/>
                      <w:szCs w:val="21"/>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rFonts w:hint="eastAsia"/>
                      <w:color w:val="auto"/>
                      <w:szCs w:val="21"/>
                      <w:highlight w:val="none"/>
                    </w:rPr>
                    <w:t>日</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PM</w:t>
                  </w:r>
                  <w:r>
                    <w:rPr>
                      <w:color w:val="auto"/>
                      <w:szCs w:val="21"/>
                      <w:highlight w:val="none"/>
                      <w:vertAlign w:val="subscript"/>
                    </w:rPr>
                    <w:t>2.5</w:t>
                  </w:r>
                </w:p>
              </w:tc>
              <w:tc>
                <w:tcPr>
                  <w:tcW w:w="912" w:type="pct"/>
                  <w:vAlign w:val="center"/>
                </w:tcPr>
                <w:p>
                  <w:pPr>
                    <w:pStyle w:val="48"/>
                    <w:rPr>
                      <w:color w:val="auto"/>
                      <w:szCs w:val="21"/>
                      <w:highlight w:val="none"/>
                    </w:rPr>
                  </w:pPr>
                  <w:r>
                    <w:rPr>
                      <w:color w:val="auto"/>
                      <w:szCs w:val="21"/>
                      <w:highlight w:val="none"/>
                    </w:rPr>
                    <w:t>年平均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rFonts w:hint="eastAsia"/>
                      <w:color w:val="auto"/>
                      <w:szCs w:val="21"/>
                      <w:highlight w:val="none"/>
                    </w:rPr>
                    <w:t>日</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二氧化氮（NO</w:t>
                  </w:r>
                  <w:r>
                    <w:rPr>
                      <w:color w:val="auto"/>
                      <w:szCs w:val="21"/>
                      <w:highlight w:val="none"/>
                      <w:vertAlign w:val="subscript"/>
                    </w:rPr>
                    <w:t>2</w:t>
                  </w:r>
                  <w:r>
                    <w:rPr>
                      <w:color w:val="auto"/>
                      <w:szCs w:val="21"/>
                      <w:highlight w:val="none"/>
                    </w:rPr>
                    <w:t>）</w:t>
                  </w:r>
                </w:p>
              </w:tc>
              <w:tc>
                <w:tcPr>
                  <w:tcW w:w="912" w:type="pct"/>
                  <w:vAlign w:val="center"/>
                </w:tcPr>
                <w:p>
                  <w:pPr>
                    <w:pStyle w:val="48"/>
                    <w:rPr>
                      <w:color w:val="auto"/>
                      <w:szCs w:val="21"/>
                      <w:highlight w:val="none"/>
                    </w:rPr>
                  </w:pPr>
                  <w:r>
                    <w:rPr>
                      <w:color w:val="auto"/>
                      <w:szCs w:val="21"/>
                      <w:highlight w:val="none"/>
                    </w:rPr>
                    <w:t>年平均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rFonts w:hint="eastAsia"/>
                      <w:color w:val="auto"/>
                      <w:szCs w:val="21"/>
                      <w:highlight w:val="none"/>
                    </w:rPr>
                    <w:t>日</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color w:val="auto"/>
                      <w:szCs w:val="21"/>
                      <w:highlight w:val="none"/>
                    </w:rPr>
                    <w:t>1小时平均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一氧化碳（CO）</w:t>
                  </w:r>
                </w:p>
              </w:tc>
              <w:tc>
                <w:tcPr>
                  <w:tcW w:w="912" w:type="pct"/>
                  <w:vAlign w:val="center"/>
                </w:tcPr>
                <w:p>
                  <w:pPr>
                    <w:pStyle w:val="48"/>
                    <w:rPr>
                      <w:color w:val="auto"/>
                      <w:szCs w:val="21"/>
                      <w:highlight w:val="none"/>
                    </w:rPr>
                  </w:pPr>
                  <w:r>
                    <w:rPr>
                      <w:rFonts w:hint="eastAsia"/>
                      <w:color w:val="auto"/>
                      <w:szCs w:val="21"/>
                      <w:highlight w:val="none"/>
                    </w:rPr>
                    <w:t>日</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color w:val="auto"/>
                      <w:szCs w:val="21"/>
                      <w:highlight w:val="none"/>
                    </w:rPr>
                    <w:t>1小时平均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color w:val="auto"/>
                      <w:szCs w:val="21"/>
                      <w:highlight w:val="none"/>
                    </w:rPr>
                    <w:t>二氧化硫（SO</w:t>
                  </w:r>
                  <w:r>
                    <w:rPr>
                      <w:color w:val="auto"/>
                      <w:szCs w:val="21"/>
                      <w:highlight w:val="none"/>
                      <w:vertAlign w:val="subscript"/>
                    </w:rPr>
                    <w:t>2</w:t>
                  </w:r>
                  <w:r>
                    <w:rPr>
                      <w:color w:val="auto"/>
                      <w:szCs w:val="21"/>
                      <w:highlight w:val="none"/>
                    </w:rPr>
                    <w:t>）</w:t>
                  </w:r>
                </w:p>
              </w:tc>
              <w:tc>
                <w:tcPr>
                  <w:tcW w:w="912" w:type="pct"/>
                  <w:vAlign w:val="center"/>
                </w:tcPr>
                <w:p>
                  <w:pPr>
                    <w:pStyle w:val="48"/>
                    <w:rPr>
                      <w:color w:val="auto"/>
                      <w:szCs w:val="21"/>
                      <w:highlight w:val="none"/>
                    </w:rPr>
                  </w:pPr>
                  <w:r>
                    <w:rPr>
                      <w:color w:val="auto"/>
                      <w:szCs w:val="21"/>
                      <w:highlight w:val="none"/>
                    </w:rPr>
                    <w:t>年平均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rFonts w:hint="eastAsia"/>
                      <w:color w:val="auto"/>
                      <w:szCs w:val="21"/>
                      <w:highlight w:val="none"/>
                    </w:rPr>
                    <w:t>日</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color w:val="auto"/>
                      <w:szCs w:val="21"/>
                      <w:highlight w:val="none"/>
                    </w:rPr>
                    <w:t>1小时平均</w:t>
                  </w:r>
                </w:p>
              </w:tc>
              <w:tc>
                <w:tcPr>
                  <w:tcW w:w="81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734" w:type="pct"/>
                  <w:vAlign w:val="center"/>
                </w:tcPr>
                <w:p>
                  <w:pPr>
                    <w:pStyle w:val="48"/>
                    <w:rPr>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rFonts w:hint="eastAsia"/>
                      <w:color w:val="auto"/>
                      <w:szCs w:val="21"/>
                      <w:highlight w:val="none"/>
                    </w:rPr>
                    <w:t>臭氧</w:t>
                  </w:r>
                  <w:r>
                    <w:rPr>
                      <w:color w:val="auto"/>
                      <w:szCs w:val="21"/>
                      <w:highlight w:val="none"/>
                    </w:rPr>
                    <w:t>（O</w:t>
                  </w:r>
                  <w:r>
                    <w:rPr>
                      <w:rFonts w:hint="eastAsia"/>
                      <w:color w:val="auto"/>
                      <w:szCs w:val="21"/>
                      <w:highlight w:val="none"/>
                      <w:vertAlign w:val="subscript"/>
                    </w:rPr>
                    <w:t>3</w:t>
                  </w:r>
                  <w:r>
                    <w:rPr>
                      <w:color w:val="auto"/>
                      <w:szCs w:val="21"/>
                      <w:highlight w:val="none"/>
                    </w:rPr>
                    <w:t>）</w:t>
                  </w:r>
                </w:p>
              </w:tc>
              <w:tc>
                <w:tcPr>
                  <w:tcW w:w="912" w:type="pct"/>
                  <w:vAlign w:val="center"/>
                </w:tcPr>
                <w:p>
                  <w:pPr>
                    <w:pStyle w:val="48"/>
                    <w:rPr>
                      <w:color w:val="auto"/>
                      <w:szCs w:val="21"/>
                      <w:highlight w:val="none"/>
                    </w:rPr>
                  </w:pPr>
                  <w:r>
                    <w:rPr>
                      <w:rFonts w:hint="eastAsia"/>
                      <w:color w:val="auto"/>
                      <w:szCs w:val="21"/>
                      <w:highlight w:val="none"/>
                    </w:rPr>
                    <w:t>日最大8小时</w:t>
                  </w:r>
                  <w:r>
                    <w:rPr>
                      <w:color w:val="auto"/>
                      <w:szCs w:val="21"/>
                      <w:highlight w:val="none"/>
                    </w:rPr>
                    <w:t>平均</w:t>
                  </w:r>
                </w:p>
              </w:tc>
              <w:tc>
                <w:tcPr>
                  <w:tcW w:w="814" w:type="pct"/>
                  <w:vAlign w:val="center"/>
                </w:tcPr>
                <w:p>
                  <w:pPr>
                    <w:pStyle w:val="48"/>
                    <w:rPr>
                      <w:color w:val="auto"/>
                      <w:szCs w:val="21"/>
                      <w:highlight w:val="none"/>
                    </w:rPr>
                  </w:pPr>
                </w:p>
              </w:tc>
              <w:tc>
                <w:tcPr>
                  <w:tcW w:w="734" w:type="pct"/>
                  <w:vAlign w:val="center"/>
                </w:tcPr>
                <w:p>
                  <w:pPr>
                    <w:pStyle w:val="48"/>
                    <w:rPr>
                      <w:rFonts w:hint="eastAsia"/>
                      <w:color w:val="auto"/>
                      <w:szCs w:val="21"/>
                      <w:highlight w:val="none"/>
                    </w:rPr>
                  </w:pPr>
                </w:p>
              </w:tc>
              <w:tc>
                <w:tcPr>
                  <w:tcW w:w="734" w:type="pct"/>
                  <w:vAlign w:val="center"/>
                </w:tcPr>
                <w:p>
                  <w:pPr>
                    <w:pStyle w:val="48"/>
                    <w:rPr>
                      <w:rFonts w:hint="eastAsia"/>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rFonts w:hint="eastAsia"/>
                      <w:color w:val="auto"/>
                      <w:szCs w:val="21"/>
                      <w:highlight w:val="none"/>
                    </w:rPr>
                    <w:t>1</w:t>
                  </w:r>
                  <w:r>
                    <w:rPr>
                      <w:color w:val="auto"/>
                      <w:szCs w:val="21"/>
                      <w:highlight w:val="none"/>
                    </w:rPr>
                    <w:t>小时平均</w:t>
                  </w:r>
                </w:p>
              </w:tc>
              <w:tc>
                <w:tcPr>
                  <w:tcW w:w="814" w:type="pct"/>
                  <w:vAlign w:val="center"/>
                </w:tcPr>
                <w:p>
                  <w:pPr>
                    <w:pStyle w:val="48"/>
                    <w:rPr>
                      <w:color w:val="auto"/>
                      <w:szCs w:val="21"/>
                      <w:highlight w:val="none"/>
                    </w:rPr>
                  </w:pPr>
                </w:p>
              </w:tc>
              <w:tc>
                <w:tcPr>
                  <w:tcW w:w="734" w:type="pct"/>
                  <w:vAlign w:val="center"/>
                </w:tcPr>
                <w:p>
                  <w:pPr>
                    <w:pStyle w:val="48"/>
                    <w:rPr>
                      <w:rFonts w:hint="eastAsia"/>
                      <w:color w:val="auto"/>
                      <w:szCs w:val="21"/>
                      <w:highlight w:val="none"/>
                    </w:rPr>
                  </w:pPr>
                </w:p>
              </w:tc>
              <w:tc>
                <w:tcPr>
                  <w:tcW w:w="734" w:type="pct"/>
                  <w:vAlign w:val="center"/>
                </w:tcPr>
                <w:p>
                  <w:pPr>
                    <w:pStyle w:val="48"/>
                    <w:rPr>
                      <w:rFonts w:hint="eastAsia"/>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restart"/>
                  <w:vAlign w:val="center"/>
                </w:tcPr>
                <w:p>
                  <w:pPr>
                    <w:pStyle w:val="48"/>
                    <w:rPr>
                      <w:color w:val="auto"/>
                      <w:szCs w:val="21"/>
                      <w:highlight w:val="none"/>
                    </w:rPr>
                  </w:pPr>
                  <w:r>
                    <w:rPr>
                      <w:rFonts w:hint="eastAsia"/>
                      <w:color w:val="auto"/>
                      <w:szCs w:val="21"/>
                      <w:highlight w:val="none"/>
                    </w:rPr>
                    <w:t>TSP</w:t>
                  </w:r>
                </w:p>
              </w:tc>
              <w:tc>
                <w:tcPr>
                  <w:tcW w:w="912" w:type="pct"/>
                  <w:vAlign w:val="center"/>
                </w:tcPr>
                <w:p>
                  <w:pPr>
                    <w:pStyle w:val="48"/>
                    <w:rPr>
                      <w:color w:val="auto"/>
                      <w:szCs w:val="21"/>
                      <w:highlight w:val="none"/>
                    </w:rPr>
                  </w:pPr>
                  <w:r>
                    <w:rPr>
                      <w:color w:val="auto"/>
                      <w:szCs w:val="21"/>
                      <w:highlight w:val="none"/>
                    </w:rPr>
                    <w:t>年平均</w:t>
                  </w:r>
                </w:p>
              </w:tc>
              <w:tc>
                <w:tcPr>
                  <w:tcW w:w="814" w:type="pct"/>
                  <w:vAlign w:val="center"/>
                </w:tcPr>
                <w:p>
                  <w:pPr>
                    <w:pStyle w:val="48"/>
                    <w:rPr>
                      <w:color w:val="auto"/>
                      <w:szCs w:val="21"/>
                      <w:highlight w:val="none"/>
                    </w:rPr>
                  </w:pPr>
                </w:p>
              </w:tc>
              <w:tc>
                <w:tcPr>
                  <w:tcW w:w="734" w:type="pct"/>
                  <w:vAlign w:val="center"/>
                </w:tcPr>
                <w:p>
                  <w:pPr>
                    <w:pStyle w:val="48"/>
                    <w:rPr>
                      <w:rFonts w:hint="eastAsia"/>
                      <w:color w:val="auto"/>
                      <w:szCs w:val="21"/>
                      <w:highlight w:val="none"/>
                    </w:rPr>
                  </w:pPr>
                </w:p>
              </w:tc>
              <w:tc>
                <w:tcPr>
                  <w:tcW w:w="734" w:type="pct"/>
                  <w:vAlign w:val="center"/>
                </w:tcPr>
                <w:p>
                  <w:pPr>
                    <w:pStyle w:val="48"/>
                    <w:rPr>
                      <w:rFonts w:hint="eastAsia"/>
                      <w:color w:val="auto"/>
                      <w:szCs w:val="21"/>
                      <w:highlight w:val="none"/>
                    </w:rPr>
                  </w:pPr>
                </w:p>
              </w:tc>
              <w:tc>
                <w:tcPr>
                  <w:tcW w:w="909" w:type="pct"/>
                  <w:vMerge w:val="continue"/>
                  <w:vAlign w:val="center"/>
                </w:tcPr>
                <w:p>
                  <w:pPr>
                    <w:pStyle w:val="48"/>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5" w:hRule="atLeast"/>
                <w:jc w:val="center"/>
              </w:trPr>
              <w:tc>
                <w:tcPr>
                  <w:tcW w:w="895" w:type="pct"/>
                  <w:vMerge w:val="continue"/>
                  <w:vAlign w:val="center"/>
                </w:tcPr>
                <w:p>
                  <w:pPr>
                    <w:pStyle w:val="48"/>
                    <w:rPr>
                      <w:color w:val="auto"/>
                      <w:szCs w:val="21"/>
                      <w:highlight w:val="none"/>
                    </w:rPr>
                  </w:pPr>
                </w:p>
              </w:tc>
              <w:tc>
                <w:tcPr>
                  <w:tcW w:w="912" w:type="pct"/>
                  <w:vAlign w:val="center"/>
                </w:tcPr>
                <w:p>
                  <w:pPr>
                    <w:pStyle w:val="48"/>
                    <w:rPr>
                      <w:color w:val="auto"/>
                      <w:szCs w:val="21"/>
                      <w:highlight w:val="none"/>
                    </w:rPr>
                  </w:pPr>
                  <w:r>
                    <w:rPr>
                      <w:color w:val="auto"/>
                      <w:szCs w:val="21"/>
                      <w:highlight w:val="none"/>
                    </w:rPr>
                    <w:t>24小时平均</w:t>
                  </w:r>
                </w:p>
              </w:tc>
              <w:tc>
                <w:tcPr>
                  <w:tcW w:w="814" w:type="pct"/>
                  <w:vAlign w:val="center"/>
                </w:tcPr>
                <w:p>
                  <w:pPr>
                    <w:pStyle w:val="48"/>
                    <w:rPr>
                      <w:color w:val="auto"/>
                      <w:szCs w:val="21"/>
                      <w:highlight w:val="none"/>
                    </w:rPr>
                  </w:pPr>
                </w:p>
              </w:tc>
              <w:tc>
                <w:tcPr>
                  <w:tcW w:w="734" w:type="pct"/>
                  <w:vAlign w:val="center"/>
                </w:tcPr>
                <w:p>
                  <w:pPr>
                    <w:pStyle w:val="48"/>
                    <w:rPr>
                      <w:rFonts w:hint="eastAsia"/>
                      <w:color w:val="auto"/>
                      <w:szCs w:val="21"/>
                      <w:highlight w:val="none"/>
                    </w:rPr>
                  </w:pPr>
                </w:p>
              </w:tc>
              <w:tc>
                <w:tcPr>
                  <w:tcW w:w="734" w:type="pct"/>
                  <w:vAlign w:val="center"/>
                </w:tcPr>
                <w:p>
                  <w:pPr>
                    <w:pStyle w:val="48"/>
                    <w:rPr>
                      <w:rFonts w:hint="eastAsia"/>
                      <w:color w:val="auto"/>
                      <w:szCs w:val="21"/>
                      <w:highlight w:val="none"/>
                    </w:rPr>
                  </w:pPr>
                </w:p>
              </w:tc>
              <w:tc>
                <w:tcPr>
                  <w:tcW w:w="909" w:type="pct"/>
                  <w:vMerge w:val="continue"/>
                  <w:vAlign w:val="center"/>
                </w:tcPr>
                <w:p>
                  <w:pPr>
                    <w:pStyle w:val="48"/>
                    <w:rPr>
                      <w:color w:val="auto"/>
                      <w:szCs w:val="21"/>
                      <w:highlight w:val="none"/>
                    </w:rPr>
                  </w:pPr>
                </w:p>
              </w:tc>
            </w:tr>
          </w:tbl>
          <w:p>
            <w:pPr>
              <w:pStyle w:val="32"/>
              <w:keepNext w:val="0"/>
              <w:keepLines w:val="0"/>
              <w:spacing w:line="240" w:lineRule="auto"/>
              <w:ind w:firstLine="480"/>
              <w:rPr>
                <w:rFonts w:hint="default"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lang w:val="en-US" w:eastAsia="zh-CN"/>
              </w:rPr>
              <w:t>注：</w:t>
            </w:r>
            <w:r>
              <w:rPr>
                <w:rFonts w:hint="eastAsia" w:ascii="Times New Roman" w:hAnsi="Times New Roman" w:eastAsia="宋体" w:cs="Times New Roman"/>
                <w:snapToGrid w:val="0"/>
                <w:color w:val="auto"/>
                <w:sz w:val="21"/>
                <w:szCs w:val="21"/>
                <w:highlight w:val="none"/>
                <w:lang w:val="en-US" w:eastAsia="zh-CN"/>
              </w:rPr>
              <w:t>2026年3月1日</w:t>
            </w:r>
            <w:r>
              <w:rPr>
                <w:rFonts w:hint="default" w:ascii="Times New Roman" w:hAnsi="Times New Roman" w:eastAsia="宋体" w:cs="Times New Roman"/>
                <w:snapToGrid w:val="0"/>
                <w:color w:val="auto"/>
                <w:sz w:val="21"/>
                <w:szCs w:val="21"/>
                <w:highlight w:val="none"/>
                <w:lang w:val="en-US" w:eastAsia="zh-CN"/>
              </w:rPr>
              <w:t>至2030年12月31日止，环境空气污染物基本项目</w:t>
            </w:r>
            <w:r>
              <w:rPr>
                <w:rFonts w:hint="eastAsia" w:ascii="Times New Roman" w:hAnsi="Times New Roman" w:eastAsia="宋体" w:cs="Times New Roman"/>
                <w:snapToGrid w:val="0"/>
                <w:color w:val="auto"/>
                <w:sz w:val="21"/>
                <w:szCs w:val="21"/>
                <w:highlight w:val="none"/>
                <w:lang w:val="en-US" w:eastAsia="zh-CN"/>
              </w:rPr>
              <w:t>（GB3095-2026</w:t>
            </w:r>
            <w:r>
              <w:rPr>
                <w:rFonts w:hint="default" w:ascii="Times New Roman" w:hAnsi="Times New Roman" w:eastAsia="宋体" w:cs="Times New Roman"/>
                <w:snapToGrid w:val="0"/>
                <w:color w:val="auto"/>
                <w:sz w:val="21"/>
                <w:szCs w:val="21"/>
                <w:highlight w:val="none"/>
                <w:lang w:val="en-US" w:eastAsia="zh-CN"/>
              </w:rPr>
              <w:t>表1</w:t>
            </w:r>
            <w:r>
              <w:rPr>
                <w:rFonts w:hint="eastAsia" w:ascii="Times New Roman" w:hAnsi="Times New Roman" w:eastAsia="宋体"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lang w:val="en-US" w:eastAsia="zh-CN"/>
              </w:rPr>
              <w:t>实施过渡阶段浓度限值</w:t>
            </w:r>
            <w:r>
              <w:rPr>
                <w:rFonts w:hint="eastAsia" w:ascii="Times New Roman" w:hAnsi="Times New Roman" w:eastAsia="宋体"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lang w:val="en-US" w:eastAsia="zh-CN"/>
              </w:rPr>
              <w:t>自2031年1月1日起，在全国范围内实施基本项目</w:t>
            </w:r>
            <w:r>
              <w:rPr>
                <w:rFonts w:hint="eastAsia" w:ascii="Times New Roman" w:hAnsi="Times New Roman" w:eastAsia="宋体" w:cs="Times New Roman"/>
                <w:snapToGrid w:val="0"/>
                <w:color w:val="auto"/>
                <w:sz w:val="21"/>
                <w:szCs w:val="21"/>
                <w:highlight w:val="none"/>
                <w:lang w:val="en-US" w:eastAsia="zh-CN"/>
              </w:rPr>
              <w:t>（GB3095-2026</w:t>
            </w:r>
            <w:r>
              <w:rPr>
                <w:rFonts w:hint="default" w:ascii="Times New Roman" w:hAnsi="Times New Roman" w:eastAsia="宋体" w:cs="Times New Roman"/>
                <w:snapToGrid w:val="0"/>
                <w:color w:val="auto"/>
                <w:sz w:val="21"/>
                <w:szCs w:val="21"/>
                <w:highlight w:val="none"/>
                <w:lang w:val="en-US" w:eastAsia="zh-CN"/>
              </w:rPr>
              <w:t>表1</w:t>
            </w:r>
            <w:r>
              <w:rPr>
                <w:rFonts w:hint="eastAsia" w:ascii="Times New Roman" w:hAnsi="Times New Roman" w:eastAsia="宋体" w:cs="Times New Roman"/>
                <w:snapToGrid w:val="0"/>
                <w:color w:val="auto"/>
                <w:sz w:val="21"/>
                <w:szCs w:val="21"/>
                <w:highlight w:val="none"/>
                <w:lang w:val="en-US" w:eastAsia="zh-CN"/>
              </w:rPr>
              <w:t>）</w:t>
            </w:r>
            <w:r>
              <w:rPr>
                <w:rFonts w:hint="default" w:ascii="Times New Roman" w:hAnsi="Times New Roman" w:eastAsia="宋体" w:cs="Times New Roman"/>
                <w:snapToGrid w:val="0"/>
                <w:color w:val="auto"/>
                <w:sz w:val="21"/>
                <w:szCs w:val="21"/>
                <w:highlight w:val="none"/>
                <w:lang w:val="en-US" w:eastAsia="zh-CN"/>
              </w:rPr>
              <w:t>浓度限值。</w:t>
            </w:r>
          </w:p>
          <w:p>
            <w:pPr>
              <w:pStyle w:val="42"/>
              <w:keepNext w:val="0"/>
              <w:keepLines w:val="0"/>
              <w:rPr>
                <w:color w:val="auto"/>
                <w:highlight w:val="none"/>
              </w:rPr>
            </w:pPr>
            <w:r>
              <w:rPr>
                <w:rFonts w:hint="eastAsia"/>
                <w:color w:val="auto"/>
                <w:highlight w:val="none"/>
              </w:rPr>
              <w:t>3.1.1.2 大气常规污染物</w:t>
            </w:r>
          </w:p>
          <w:p>
            <w:pPr>
              <w:pStyle w:val="32"/>
              <w:ind w:firstLine="480"/>
              <w:rPr>
                <w:color w:val="auto"/>
                <w:highlight w:val="none"/>
                <w:lang w:val="en-GB"/>
              </w:rPr>
            </w:pPr>
            <w:r>
              <w:rPr>
                <w:snapToGrid w:val="0"/>
                <w:color w:val="auto"/>
                <w:highlight w:val="none"/>
              </w:rPr>
              <w:t>根据《环境影响评价技术导则 大气环境》</w:t>
            </w:r>
            <w:r>
              <w:rPr>
                <w:rFonts w:hint="eastAsia"/>
                <w:snapToGrid w:val="0"/>
                <w:color w:val="auto"/>
                <w:highlight w:val="none"/>
              </w:rPr>
              <w:t>（</w:t>
            </w:r>
            <w:r>
              <w:rPr>
                <w:snapToGrid w:val="0"/>
                <w:color w:val="auto"/>
                <w:highlight w:val="none"/>
              </w:rPr>
              <w:t>HJ2.2-2018</w:t>
            </w:r>
            <w:r>
              <w:rPr>
                <w:rFonts w:hint="eastAsia"/>
                <w:snapToGrid w:val="0"/>
                <w:color w:val="auto"/>
                <w:highlight w:val="none"/>
              </w:rPr>
              <w:t>）</w:t>
            </w:r>
            <w:r>
              <w:rPr>
                <w:snapToGrid w:val="0"/>
                <w:color w:val="auto"/>
                <w:highlight w:val="none"/>
              </w:rPr>
              <w:t>的6.2.1.2要求：“大气环境质量现状调查可采用评价范围内国家或地方环境空气质量监测网中评价基准年连续1年的监测数据，或采用生态环境主管部门发布的环境空气质量现状数据”，</w:t>
            </w:r>
            <w:r>
              <w:rPr>
                <w:rFonts w:hint="eastAsia"/>
                <w:snapToGrid w:val="0"/>
                <w:color w:val="auto"/>
                <w:highlight w:val="none"/>
              </w:rPr>
              <w:t>故</w:t>
            </w:r>
            <w:r>
              <w:rPr>
                <w:snapToGrid w:val="0"/>
                <w:color w:val="auto"/>
                <w:highlight w:val="none"/>
              </w:rPr>
              <w:t>本评价</w:t>
            </w:r>
            <w:r>
              <w:rPr>
                <w:rFonts w:hint="eastAsia"/>
                <w:snapToGrid w:val="0"/>
                <w:color w:val="auto"/>
                <w:highlight w:val="none"/>
              </w:rPr>
              <w:t>选取</w:t>
            </w:r>
            <w:r>
              <w:rPr>
                <w:rFonts w:hint="eastAsia"/>
                <w:color w:val="auto"/>
                <w:highlight w:val="none"/>
              </w:rPr>
              <w:t>宁德</w:t>
            </w:r>
            <w:r>
              <w:rPr>
                <w:rFonts w:hint="eastAsia"/>
                <w:color w:val="auto"/>
                <w:highlight w:val="none"/>
                <w:lang w:val="en-GB"/>
              </w:rPr>
              <w:t>市生态环境局发布的《20</w:t>
            </w:r>
            <w:r>
              <w:rPr>
                <w:rFonts w:hint="eastAsia"/>
                <w:color w:val="auto"/>
                <w:highlight w:val="none"/>
              </w:rPr>
              <w:t>24</w:t>
            </w:r>
            <w:r>
              <w:rPr>
                <w:rFonts w:hint="eastAsia"/>
                <w:color w:val="auto"/>
                <w:highlight w:val="none"/>
                <w:lang w:val="en-GB"/>
              </w:rPr>
              <w:t>年度</w:t>
            </w:r>
            <w:r>
              <w:rPr>
                <w:rFonts w:hint="eastAsia"/>
                <w:color w:val="auto"/>
                <w:highlight w:val="none"/>
              </w:rPr>
              <w:t>宁德</w:t>
            </w:r>
            <w:r>
              <w:rPr>
                <w:rFonts w:hint="eastAsia"/>
                <w:color w:val="auto"/>
                <w:highlight w:val="none"/>
                <w:lang w:val="en-GB"/>
              </w:rPr>
              <w:t>市环境</w:t>
            </w:r>
            <w:r>
              <w:rPr>
                <w:rFonts w:hint="eastAsia"/>
                <w:color w:val="auto"/>
                <w:highlight w:val="none"/>
              </w:rPr>
              <w:t>质量概要</w:t>
            </w:r>
            <w:r>
              <w:rPr>
                <w:rFonts w:hint="eastAsia"/>
                <w:color w:val="auto"/>
                <w:highlight w:val="none"/>
                <w:lang w:val="en-GB"/>
              </w:rPr>
              <w:t>》中的相关监测数据进行大气常规污染物的现状评价。</w:t>
            </w:r>
          </w:p>
          <w:p>
            <w:pPr>
              <w:pStyle w:val="32"/>
              <w:ind w:firstLine="516"/>
              <w:rPr>
                <w:color w:val="auto"/>
                <w:highlight w:val="none"/>
                <w:lang w:val="en-GB"/>
              </w:rPr>
            </w:pPr>
            <w:r>
              <w:rPr>
                <w:color w:val="auto"/>
                <w:spacing w:val="9"/>
                <w:highlight w:val="none"/>
              </w:rPr>
              <w:t>本项目位于福建省宁德市蕉城区漳湾镇，所在区域属于二类功能区</w:t>
            </w:r>
            <w:r>
              <w:rPr>
                <w:rFonts w:hint="eastAsia"/>
                <w:color w:val="auto"/>
                <w:spacing w:val="9"/>
                <w:highlight w:val="none"/>
              </w:rPr>
              <w:t>。</w:t>
            </w:r>
            <w:r>
              <w:rPr>
                <w:rFonts w:hint="eastAsia"/>
                <w:color w:val="auto"/>
                <w:highlight w:val="none"/>
                <w:lang w:val="en-GB"/>
              </w:rPr>
              <w:t>《20</w:t>
            </w:r>
            <w:r>
              <w:rPr>
                <w:rFonts w:hint="eastAsia"/>
                <w:color w:val="auto"/>
                <w:highlight w:val="none"/>
              </w:rPr>
              <w:t>24</w:t>
            </w:r>
            <w:r>
              <w:rPr>
                <w:rFonts w:hint="eastAsia"/>
                <w:color w:val="auto"/>
                <w:highlight w:val="none"/>
                <w:lang w:val="en-GB"/>
              </w:rPr>
              <w:t>年度</w:t>
            </w:r>
            <w:r>
              <w:rPr>
                <w:rFonts w:hint="eastAsia"/>
                <w:color w:val="auto"/>
                <w:highlight w:val="none"/>
              </w:rPr>
              <w:t>宁德</w:t>
            </w:r>
            <w:r>
              <w:rPr>
                <w:rFonts w:hint="eastAsia"/>
                <w:color w:val="auto"/>
                <w:highlight w:val="none"/>
                <w:lang w:val="en-GB"/>
              </w:rPr>
              <w:t>市环境</w:t>
            </w:r>
            <w:r>
              <w:rPr>
                <w:rFonts w:hint="eastAsia"/>
                <w:color w:val="auto"/>
                <w:highlight w:val="none"/>
              </w:rPr>
              <w:t>质量概要</w:t>
            </w:r>
            <w:r>
              <w:rPr>
                <w:rFonts w:hint="eastAsia"/>
                <w:color w:val="auto"/>
                <w:highlight w:val="none"/>
                <w:lang w:val="en-GB"/>
              </w:rPr>
              <w:t>》显示，20</w:t>
            </w:r>
            <w:r>
              <w:rPr>
                <w:rFonts w:hint="eastAsia"/>
                <w:color w:val="auto"/>
                <w:highlight w:val="none"/>
              </w:rPr>
              <w:t>24</w:t>
            </w:r>
            <w:r>
              <w:rPr>
                <w:rFonts w:hint="eastAsia"/>
                <w:color w:val="auto"/>
                <w:highlight w:val="none"/>
                <w:lang w:val="en-GB"/>
              </w:rPr>
              <w:t>年，</w:t>
            </w:r>
            <w:r>
              <w:rPr>
                <w:rFonts w:hint="eastAsia"/>
                <w:color w:val="auto"/>
                <w:highlight w:val="none"/>
              </w:rPr>
              <w:t>中心城区</w:t>
            </w:r>
            <w:r>
              <w:rPr>
                <w:rFonts w:hint="eastAsia"/>
                <w:color w:val="auto"/>
                <w:highlight w:val="none"/>
                <w:lang w:val="en-GB"/>
              </w:rPr>
              <w:t>环境空气质量达标天数比例98.4%。</w:t>
            </w:r>
          </w:p>
          <w:p>
            <w:pPr>
              <w:pStyle w:val="32"/>
              <w:ind w:firstLine="480"/>
              <w:rPr>
                <w:color w:val="auto"/>
                <w:highlight w:val="none"/>
                <w:lang w:val="en-GB"/>
              </w:rPr>
            </w:pPr>
            <w:r>
              <w:rPr>
                <w:rFonts w:hint="eastAsia"/>
                <w:color w:val="auto"/>
                <w:highlight w:val="none"/>
                <w:lang w:val="en-GB"/>
              </w:rPr>
              <w:t>20</w:t>
            </w:r>
            <w:r>
              <w:rPr>
                <w:rFonts w:hint="eastAsia"/>
                <w:color w:val="auto"/>
                <w:highlight w:val="none"/>
              </w:rPr>
              <w:t>24</w:t>
            </w:r>
            <w:r>
              <w:rPr>
                <w:rFonts w:hint="eastAsia"/>
                <w:color w:val="auto"/>
                <w:highlight w:val="none"/>
                <w:lang w:val="en-GB"/>
              </w:rPr>
              <w:t>年</w:t>
            </w:r>
            <w:r>
              <w:rPr>
                <w:rFonts w:hint="eastAsia"/>
                <w:color w:val="auto"/>
                <w:highlight w:val="none"/>
              </w:rPr>
              <w:t>中心城区</w:t>
            </w:r>
            <w:r>
              <w:rPr>
                <w:rFonts w:hint="eastAsia"/>
                <w:color w:val="auto"/>
                <w:highlight w:val="none"/>
                <w:lang w:val="en-GB"/>
              </w:rPr>
              <w:t>环境空气中二氧化硫（SO</w:t>
            </w:r>
            <w:r>
              <w:rPr>
                <w:rFonts w:hint="eastAsia"/>
                <w:color w:val="auto"/>
                <w:highlight w:val="none"/>
                <w:vertAlign w:val="subscript"/>
                <w:lang w:val="en-GB"/>
              </w:rPr>
              <w:t>2</w:t>
            </w:r>
            <w:r>
              <w:rPr>
                <w:rFonts w:hint="eastAsia"/>
                <w:color w:val="auto"/>
                <w:highlight w:val="none"/>
                <w:lang w:val="en-GB"/>
              </w:rPr>
              <w:t>）、二氧化氮（NO</w:t>
            </w:r>
            <w:r>
              <w:rPr>
                <w:rFonts w:hint="eastAsia"/>
                <w:color w:val="auto"/>
                <w:highlight w:val="none"/>
                <w:vertAlign w:val="subscript"/>
                <w:lang w:val="en-GB"/>
              </w:rPr>
              <w:t>2</w:t>
            </w:r>
            <w:r>
              <w:rPr>
                <w:rFonts w:hint="eastAsia"/>
                <w:color w:val="auto"/>
                <w:highlight w:val="none"/>
                <w:lang w:val="en-GB"/>
              </w:rPr>
              <w:t>）、可吸入颗粒物（PM</w:t>
            </w:r>
            <w:r>
              <w:rPr>
                <w:rFonts w:hint="eastAsia"/>
                <w:color w:val="auto"/>
                <w:highlight w:val="none"/>
                <w:vertAlign w:val="subscript"/>
                <w:lang w:val="en-GB"/>
              </w:rPr>
              <w:t>10</w:t>
            </w:r>
            <w:r>
              <w:rPr>
                <w:rFonts w:hint="eastAsia"/>
                <w:color w:val="auto"/>
                <w:highlight w:val="none"/>
                <w:lang w:val="en-GB"/>
              </w:rPr>
              <w:t>）和细颗粒物（PM</w:t>
            </w:r>
            <w:r>
              <w:rPr>
                <w:rFonts w:hint="eastAsia"/>
                <w:color w:val="auto"/>
                <w:highlight w:val="none"/>
                <w:vertAlign w:val="subscript"/>
                <w:lang w:val="en-GB"/>
              </w:rPr>
              <w:t>2.5</w:t>
            </w:r>
            <w:r>
              <w:rPr>
                <w:rFonts w:hint="eastAsia"/>
                <w:color w:val="auto"/>
                <w:highlight w:val="none"/>
                <w:lang w:val="en-GB"/>
              </w:rPr>
              <w:t>）的年均值分别为</w:t>
            </w:r>
            <w:r>
              <w:rPr>
                <w:rFonts w:hint="eastAsia"/>
                <w:color w:val="auto"/>
                <w:highlight w:val="none"/>
              </w:rPr>
              <w:t>5</w:t>
            </w:r>
            <w:r>
              <w:rPr>
                <w:rFonts w:hint="eastAsia"/>
                <w:color w:val="auto"/>
                <w:highlight w:val="none"/>
                <w:lang w:val="en-GB"/>
              </w:rPr>
              <w:t>微克/立方米、</w:t>
            </w:r>
            <w:r>
              <w:rPr>
                <w:rFonts w:hint="eastAsia"/>
                <w:color w:val="auto"/>
                <w:highlight w:val="none"/>
              </w:rPr>
              <w:t>15</w:t>
            </w:r>
            <w:r>
              <w:rPr>
                <w:rFonts w:hint="eastAsia"/>
                <w:color w:val="auto"/>
                <w:highlight w:val="none"/>
                <w:lang w:val="en-GB"/>
              </w:rPr>
              <w:t>微克/立方米、</w:t>
            </w:r>
            <w:r>
              <w:rPr>
                <w:rFonts w:hint="eastAsia"/>
                <w:color w:val="auto"/>
                <w:highlight w:val="none"/>
              </w:rPr>
              <w:t>32</w:t>
            </w:r>
            <w:r>
              <w:rPr>
                <w:rFonts w:hint="eastAsia"/>
                <w:color w:val="auto"/>
                <w:highlight w:val="none"/>
                <w:lang w:val="en-GB"/>
              </w:rPr>
              <w:t>微克/立方米和</w:t>
            </w:r>
            <w:r>
              <w:rPr>
                <w:rFonts w:hint="eastAsia"/>
                <w:color w:val="auto"/>
                <w:highlight w:val="none"/>
              </w:rPr>
              <w:t>22</w:t>
            </w:r>
            <w:r>
              <w:rPr>
                <w:rFonts w:hint="eastAsia"/>
                <w:color w:val="auto"/>
                <w:highlight w:val="none"/>
                <w:lang w:val="en-GB"/>
              </w:rPr>
              <w:t>微克/立方米，一氧化碳（CO）和臭氧（O</w:t>
            </w:r>
            <w:r>
              <w:rPr>
                <w:rFonts w:hint="eastAsia"/>
                <w:color w:val="auto"/>
                <w:highlight w:val="none"/>
                <w:vertAlign w:val="subscript"/>
                <w:lang w:val="en-GB"/>
              </w:rPr>
              <w:t>3</w:t>
            </w:r>
            <w:r>
              <w:rPr>
                <w:rFonts w:hint="eastAsia"/>
                <w:color w:val="auto"/>
                <w:highlight w:val="none"/>
                <w:lang w:val="en-GB"/>
              </w:rPr>
              <w:t>）的百分位数浓度分别为</w:t>
            </w:r>
            <w:r>
              <w:rPr>
                <w:rFonts w:hint="eastAsia"/>
                <w:color w:val="auto"/>
                <w:highlight w:val="none"/>
              </w:rPr>
              <w:t>1</w:t>
            </w:r>
            <w:r>
              <w:rPr>
                <w:rFonts w:hint="eastAsia"/>
                <w:color w:val="auto"/>
                <w:highlight w:val="none"/>
                <w:lang w:val="en-GB"/>
              </w:rPr>
              <w:t>毫克/立方米和</w:t>
            </w:r>
            <w:r>
              <w:rPr>
                <w:rFonts w:hint="eastAsia"/>
                <w:color w:val="auto"/>
                <w:highlight w:val="none"/>
              </w:rPr>
              <w:t>130</w:t>
            </w:r>
            <w:r>
              <w:rPr>
                <w:rFonts w:hint="eastAsia"/>
                <w:color w:val="auto"/>
                <w:highlight w:val="none"/>
                <w:lang w:val="en-GB"/>
              </w:rPr>
              <w:t>微克/立方米；符合GB3095-20</w:t>
            </w:r>
            <w:r>
              <w:rPr>
                <w:rFonts w:hint="eastAsia"/>
                <w:color w:val="auto"/>
                <w:highlight w:val="none"/>
                <w:lang w:val="en-US" w:eastAsia="zh-CN"/>
              </w:rPr>
              <w:t>26</w:t>
            </w:r>
            <w:r>
              <w:rPr>
                <w:rFonts w:hint="eastAsia"/>
                <w:color w:val="auto"/>
                <w:highlight w:val="none"/>
                <w:lang w:val="en-GB"/>
              </w:rPr>
              <w:t>《环境空气质量标准》二级标准。20</w:t>
            </w:r>
            <w:r>
              <w:rPr>
                <w:rFonts w:hint="eastAsia"/>
                <w:color w:val="auto"/>
                <w:highlight w:val="none"/>
              </w:rPr>
              <w:t>24</w:t>
            </w:r>
            <w:r>
              <w:rPr>
                <w:rFonts w:hint="eastAsia"/>
                <w:color w:val="auto"/>
                <w:highlight w:val="none"/>
                <w:lang w:val="en-GB"/>
              </w:rPr>
              <w:t>年</w:t>
            </w:r>
            <w:r>
              <w:rPr>
                <w:rFonts w:hint="eastAsia"/>
                <w:color w:val="auto"/>
                <w:highlight w:val="none"/>
              </w:rPr>
              <w:t>中心城区</w:t>
            </w:r>
            <w:r>
              <w:rPr>
                <w:rFonts w:hint="eastAsia"/>
                <w:color w:val="auto"/>
                <w:highlight w:val="none"/>
                <w:lang w:val="en-GB"/>
              </w:rPr>
              <w:t>空气质量数据见表</w:t>
            </w:r>
            <w:r>
              <w:rPr>
                <w:rFonts w:hint="eastAsia"/>
                <w:color w:val="auto"/>
                <w:highlight w:val="none"/>
              </w:rPr>
              <w:t>3.1.2</w:t>
            </w:r>
            <w:r>
              <w:rPr>
                <w:rFonts w:hint="eastAsia"/>
                <w:color w:val="auto"/>
                <w:highlight w:val="none"/>
                <w:lang w:val="en-GB"/>
              </w:rPr>
              <w:t>。</w:t>
            </w:r>
          </w:p>
          <w:p>
            <w:pPr>
              <w:pStyle w:val="32"/>
              <w:ind w:firstLine="480"/>
              <w:rPr>
                <w:color w:val="auto"/>
                <w:highlight w:val="none"/>
                <w:lang w:val="en-GB"/>
              </w:rPr>
            </w:pPr>
            <w:r>
              <w:rPr>
                <w:rFonts w:hint="eastAsia"/>
                <w:color w:val="auto"/>
                <w:highlight w:val="none"/>
                <w:lang w:val="en-GB"/>
              </w:rPr>
              <w:t>经判定六项污染物指标全部达标，项目所在区域为达标区。</w:t>
            </w:r>
          </w:p>
          <w:p>
            <w:pPr>
              <w:pStyle w:val="33"/>
              <w:rPr>
                <w:color w:val="auto"/>
                <w:highlight w:val="none"/>
              </w:rPr>
            </w:pPr>
            <w:r>
              <w:rPr>
                <w:color w:val="auto"/>
                <w:highlight w:val="none"/>
              </w:rPr>
              <w:t>表</w:t>
            </w:r>
            <w:r>
              <w:rPr>
                <w:rFonts w:hint="eastAsia"/>
                <w:color w:val="auto"/>
                <w:highlight w:val="none"/>
              </w:rPr>
              <w:t>3.1.2</w:t>
            </w:r>
            <w:r>
              <w:rPr>
                <w:color w:val="auto"/>
                <w:highlight w:val="none"/>
              </w:rPr>
              <w:t xml:space="preserve">  20</w:t>
            </w:r>
            <w:r>
              <w:rPr>
                <w:rFonts w:hint="eastAsia"/>
                <w:color w:val="auto"/>
                <w:highlight w:val="none"/>
              </w:rPr>
              <w:t>24</w:t>
            </w:r>
            <w:r>
              <w:rPr>
                <w:color w:val="auto"/>
                <w:highlight w:val="none"/>
              </w:rPr>
              <w:t>年</w:t>
            </w:r>
            <w:r>
              <w:rPr>
                <w:rFonts w:hint="eastAsia"/>
                <w:color w:val="auto"/>
                <w:highlight w:val="none"/>
              </w:rPr>
              <w:t>中心城区</w:t>
            </w:r>
            <w:r>
              <w:rPr>
                <w:color w:val="auto"/>
                <w:highlight w:val="none"/>
              </w:rPr>
              <w:t>空气质量监测结果</w:t>
            </w:r>
            <w:r>
              <w:rPr>
                <w:rFonts w:hint="eastAsia"/>
                <w:color w:val="auto"/>
                <w:highlight w:val="none"/>
              </w:rPr>
              <w:t xml:space="preserve">    单位：</w:t>
            </w:r>
            <w:r>
              <w:rPr>
                <w:rFonts w:hint="eastAsia"/>
                <w:color w:val="auto"/>
                <w:szCs w:val="21"/>
                <w:highlight w:val="none"/>
              </w:rPr>
              <w:t>μ</w:t>
            </w:r>
            <w:r>
              <w:rPr>
                <w:rFonts w:hint="eastAsia"/>
                <w:color w:val="auto"/>
                <w:kern w:val="0"/>
                <w:szCs w:val="21"/>
                <w:highlight w:val="none"/>
              </w:rPr>
              <w:t>g/</w:t>
            </w:r>
            <w:r>
              <w:rPr>
                <w:color w:val="auto"/>
                <w:kern w:val="0"/>
                <w:szCs w:val="21"/>
                <w:highlight w:val="none"/>
              </w:rPr>
              <w:t>m</w:t>
            </w:r>
            <w:r>
              <w:rPr>
                <w:color w:val="auto"/>
                <w:kern w:val="0"/>
                <w:szCs w:val="21"/>
                <w:highlight w:val="none"/>
                <w:vertAlign w:val="superscript"/>
              </w:rPr>
              <w:t>3</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1092"/>
              <w:gridCol w:w="1080"/>
              <w:gridCol w:w="754"/>
              <w:gridCol w:w="904"/>
              <w:gridCol w:w="754"/>
              <w:gridCol w:w="779"/>
              <w:gridCol w:w="1179"/>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649" w:type="pct"/>
                  <w:vAlign w:val="center"/>
                </w:tcPr>
                <w:p>
                  <w:pPr>
                    <w:jc w:val="center"/>
                    <w:rPr>
                      <w:color w:val="auto"/>
                      <w:kern w:val="0"/>
                      <w:szCs w:val="21"/>
                      <w:highlight w:val="none"/>
                    </w:rPr>
                  </w:pPr>
                  <w:r>
                    <w:rPr>
                      <w:rFonts w:hint="eastAsia"/>
                      <w:color w:val="auto"/>
                      <w:kern w:val="0"/>
                      <w:szCs w:val="21"/>
                      <w:highlight w:val="none"/>
                    </w:rPr>
                    <w:t>城市</w:t>
                  </w:r>
                </w:p>
              </w:tc>
              <w:tc>
                <w:tcPr>
                  <w:tcW w:w="645" w:type="pct"/>
                  <w:vAlign w:val="center"/>
                </w:tcPr>
                <w:p>
                  <w:pPr>
                    <w:jc w:val="center"/>
                    <w:rPr>
                      <w:color w:val="auto"/>
                      <w:kern w:val="0"/>
                      <w:szCs w:val="21"/>
                      <w:highlight w:val="none"/>
                    </w:rPr>
                  </w:pPr>
                  <w:r>
                    <w:rPr>
                      <w:rFonts w:hint="eastAsia"/>
                      <w:color w:val="auto"/>
                      <w:kern w:val="0"/>
                      <w:szCs w:val="21"/>
                      <w:highlight w:val="none"/>
                    </w:rPr>
                    <w:t>空气质量</w:t>
                  </w:r>
                  <w:r>
                    <w:rPr>
                      <w:color w:val="auto"/>
                      <w:kern w:val="0"/>
                      <w:szCs w:val="21"/>
                      <w:highlight w:val="none"/>
                    </w:rPr>
                    <w:t>综合指数</w:t>
                  </w:r>
                </w:p>
              </w:tc>
              <w:tc>
                <w:tcPr>
                  <w:tcW w:w="638" w:type="pct"/>
                  <w:vAlign w:val="center"/>
                </w:tcPr>
                <w:p>
                  <w:pPr>
                    <w:jc w:val="center"/>
                    <w:rPr>
                      <w:color w:val="auto"/>
                      <w:kern w:val="0"/>
                      <w:szCs w:val="21"/>
                      <w:highlight w:val="none"/>
                    </w:rPr>
                  </w:pPr>
                  <w:r>
                    <w:rPr>
                      <w:color w:val="auto"/>
                      <w:kern w:val="0"/>
                      <w:szCs w:val="21"/>
                      <w:highlight w:val="none"/>
                    </w:rPr>
                    <w:t>达标天数比例（％）</w:t>
                  </w:r>
                </w:p>
              </w:tc>
              <w:tc>
                <w:tcPr>
                  <w:tcW w:w="445" w:type="pct"/>
                  <w:vAlign w:val="center"/>
                </w:tcPr>
                <w:p>
                  <w:pPr>
                    <w:jc w:val="center"/>
                    <w:rPr>
                      <w:color w:val="auto"/>
                      <w:kern w:val="0"/>
                      <w:szCs w:val="21"/>
                      <w:highlight w:val="none"/>
                    </w:rPr>
                  </w:pPr>
                  <w:r>
                    <w:rPr>
                      <w:color w:val="auto"/>
                      <w:kern w:val="0"/>
                      <w:szCs w:val="21"/>
                      <w:highlight w:val="none"/>
                    </w:rPr>
                    <w:t>SO</w:t>
                  </w:r>
                  <w:r>
                    <w:rPr>
                      <w:color w:val="auto"/>
                      <w:kern w:val="0"/>
                      <w:szCs w:val="21"/>
                      <w:highlight w:val="none"/>
                      <w:vertAlign w:val="subscript"/>
                    </w:rPr>
                    <w:t>2</w:t>
                  </w:r>
                  <w:r>
                    <w:rPr>
                      <w:rFonts w:hint="eastAsia"/>
                      <w:color w:val="auto"/>
                      <w:kern w:val="0"/>
                      <w:szCs w:val="21"/>
                      <w:highlight w:val="none"/>
                    </w:rPr>
                    <w:t>年</w:t>
                  </w:r>
                  <w:r>
                    <w:rPr>
                      <w:color w:val="auto"/>
                      <w:kern w:val="0"/>
                      <w:szCs w:val="21"/>
                      <w:highlight w:val="none"/>
                    </w:rPr>
                    <w:t>均值</w:t>
                  </w:r>
                </w:p>
              </w:tc>
              <w:tc>
                <w:tcPr>
                  <w:tcW w:w="534" w:type="pct"/>
                  <w:vAlign w:val="center"/>
                </w:tcPr>
                <w:p>
                  <w:pPr>
                    <w:jc w:val="center"/>
                    <w:rPr>
                      <w:color w:val="auto"/>
                      <w:kern w:val="0"/>
                      <w:szCs w:val="21"/>
                      <w:highlight w:val="none"/>
                    </w:rPr>
                  </w:pPr>
                  <w:r>
                    <w:rPr>
                      <w:color w:val="auto"/>
                      <w:kern w:val="0"/>
                      <w:szCs w:val="21"/>
                      <w:highlight w:val="none"/>
                    </w:rPr>
                    <w:t>NO</w:t>
                  </w:r>
                  <w:r>
                    <w:rPr>
                      <w:color w:val="auto"/>
                      <w:kern w:val="0"/>
                      <w:szCs w:val="21"/>
                      <w:highlight w:val="none"/>
                      <w:vertAlign w:val="subscript"/>
                    </w:rPr>
                    <w:t>2</w:t>
                  </w:r>
                  <w:r>
                    <w:rPr>
                      <w:rFonts w:hint="eastAsia"/>
                      <w:color w:val="auto"/>
                      <w:kern w:val="0"/>
                      <w:szCs w:val="21"/>
                      <w:highlight w:val="none"/>
                    </w:rPr>
                    <w:t>年</w:t>
                  </w:r>
                  <w:r>
                    <w:rPr>
                      <w:color w:val="auto"/>
                      <w:kern w:val="0"/>
                      <w:szCs w:val="21"/>
                      <w:highlight w:val="none"/>
                    </w:rPr>
                    <w:t>均值</w:t>
                  </w:r>
                </w:p>
              </w:tc>
              <w:tc>
                <w:tcPr>
                  <w:tcW w:w="445" w:type="pct"/>
                  <w:vAlign w:val="center"/>
                </w:tcPr>
                <w:p>
                  <w:pPr>
                    <w:jc w:val="center"/>
                    <w:rPr>
                      <w:color w:val="auto"/>
                      <w:kern w:val="0"/>
                      <w:szCs w:val="21"/>
                      <w:highlight w:val="none"/>
                    </w:rPr>
                  </w:pPr>
                  <w:r>
                    <w:rPr>
                      <w:color w:val="auto"/>
                      <w:kern w:val="0"/>
                      <w:szCs w:val="21"/>
                      <w:highlight w:val="none"/>
                    </w:rPr>
                    <w:t>PM</w:t>
                  </w:r>
                  <w:r>
                    <w:rPr>
                      <w:color w:val="auto"/>
                      <w:kern w:val="0"/>
                      <w:szCs w:val="21"/>
                      <w:highlight w:val="none"/>
                      <w:vertAlign w:val="subscript"/>
                    </w:rPr>
                    <w:t>10</w:t>
                  </w:r>
                  <w:r>
                    <w:rPr>
                      <w:rFonts w:hint="eastAsia"/>
                      <w:color w:val="auto"/>
                      <w:kern w:val="0"/>
                      <w:szCs w:val="21"/>
                      <w:highlight w:val="none"/>
                    </w:rPr>
                    <w:t>年</w:t>
                  </w:r>
                  <w:r>
                    <w:rPr>
                      <w:color w:val="auto"/>
                      <w:kern w:val="0"/>
                      <w:szCs w:val="21"/>
                      <w:highlight w:val="none"/>
                    </w:rPr>
                    <w:t>均值</w:t>
                  </w:r>
                </w:p>
              </w:tc>
              <w:tc>
                <w:tcPr>
                  <w:tcW w:w="460" w:type="pct"/>
                  <w:vAlign w:val="center"/>
                </w:tcPr>
                <w:p>
                  <w:pPr>
                    <w:jc w:val="center"/>
                    <w:rPr>
                      <w:color w:val="auto"/>
                      <w:kern w:val="0"/>
                      <w:szCs w:val="21"/>
                      <w:highlight w:val="none"/>
                    </w:rPr>
                  </w:pPr>
                  <w:r>
                    <w:rPr>
                      <w:color w:val="auto"/>
                      <w:kern w:val="0"/>
                      <w:szCs w:val="21"/>
                      <w:highlight w:val="none"/>
                    </w:rPr>
                    <w:t>PM</w:t>
                  </w:r>
                  <w:r>
                    <w:rPr>
                      <w:color w:val="auto"/>
                      <w:kern w:val="0"/>
                      <w:szCs w:val="21"/>
                      <w:highlight w:val="none"/>
                      <w:vertAlign w:val="subscript"/>
                    </w:rPr>
                    <w:t>2.5</w:t>
                  </w:r>
                  <w:r>
                    <w:rPr>
                      <w:rFonts w:hint="eastAsia"/>
                      <w:color w:val="auto"/>
                      <w:kern w:val="0"/>
                      <w:szCs w:val="21"/>
                      <w:highlight w:val="none"/>
                    </w:rPr>
                    <w:t>年</w:t>
                  </w:r>
                  <w:r>
                    <w:rPr>
                      <w:color w:val="auto"/>
                      <w:kern w:val="0"/>
                      <w:szCs w:val="21"/>
                      <w:highlight w:val="none"/>
                    </w:rPr>
                    <w:t>均值</w:t>
                  </w:r>
                </w:p>
              </w:tc>
              <w:tc>
                <w:tcPr>
                  <w:tcW w:w="696" w:type="pct"/>
                  <w:vAlign w:val="center"/>
                </w:tcPr>
                <w:p>
                  <w:pPr>
                    <w:jc w:val="center"/>
                    <w:rPr>
                      <w:color w:val="auto"/>
                      <w:kern w:val="0"/>
                      <w:sz w:val="20"/>
                      <w:szCs w:val="20"/>
                      <w:highlight w:val="none"/>
                    </w:rPr>
                  </w:pPr>
                  <w:r>
                    <w:rPr>
                      <w:color w:val="auto"/>
                      <w:kern w:val="0"/>
                      <w:sz w:val="20"/>
                      <w:szCs w:val="20"/>
                      <w:highlight w:val="none"/>
                    </w:rPr>
                    <w:t>CO-95per（m</w:t>
                  </w:r>
                  <w:r>
                    <w:rPr>
                      <w:rFonts w:hint="eastAsia"/>
                      <w:color w:val="auto"/>
                      <w:kern w:val="0"/>
                      <w:sz w:val="20"/>
                      <w:szCs w:val="20"/>
                      <w:highlight w:val="none"/>
                    </w:rPr>
                    <w:t>g/</w:t>
                  </w:r>
                  <w:r>
                    <w:rPr>
                      <w:color w:val="auto"/>
                      <w:kern w:val="0"/>
                      <w:sz w:val="20"/>
                      <w:szCs w:val="20"/>
                      <w:highlight w:val="none"/>
                    </w:rPr>
                    <w:t>m</w:t>
                  </w:r>
                  <w:r>
                    <w:rPr>
                      <w:color w:val="auto"/>
                      <w:kern w:val="0"/>
                      <w:sz w:val="20"/>
                      <w:szCs w:val="20"/>
                      <w:highlight w:val="none"/>
                      <w:vertAlign w:val="superscript"/>
                    </w:rPr>
                    <w:t>3</w:t>
                  </w:r>
                  <w:r>
                    <w:rPr>
                      <w:color w:val="auto"/>
                      <w:kern w:val="0"/>
                      <w:sz w:val="20"/>
                      <w:szCs w:val="20"/>
                      <w:highlight w:val="none"/>
                    </w:rPr>
                    <w:t>）</w:t>
                  </w:r>
                </w:p>
              </w:tc>
              <w:tc>
                <w:tcPr>
                  <w:tcW w:w="481" w:type="pct"/>
                  <w:vAlign w:val="center"/>
                </w:tcPr>
                <w:p>
                  <w:pPr>
                    <w:jc w:val="center"/>
                    <w:rPr>
                      <w:color w:val="auto"/>
                      <w:kern w:val="0"/>
                      <w:sz w:val="20"/>
                      <w:szCs w:val="20"/>
                      <w:highlight w:val="none"/>
                    </w:rPr>
                  </w:pPr>
                  <w:r>
                    <w:rPr>
                      <w:color w:val="auto"/>
                      <w:kern w:val="0"/>
                      <w:sz w:val="20"/>
                      <w:szCs w:val="20"/>
                      <w:highlight w:val="none"/>
                    </w:rPr>
                    <w:t>O</w:t>
                  </w:r>
                  <w:r>
                    <w:rPr>
                      <w:color w:val="auto"/>
                      <w:kern w:val="0"/>
                      <w:sz w:val="20"/>
                      <w:szCs w:val="20"/>
                      <w:highlight w:val="none"/>
                      <w:vertAlign w:val="subscript"/>
                    </w:rPr>
                    <w:t>3</w:t>
                  </w:r>
                  <w:r>
                    <w:rPr>
                      <w:color w:val="auto"/>
                      <w:kern w:val="0"/>
                      <w:sz w:val="20"/>
                      <w:szCs w:val="20"/>
                      <w:highlight w:val="none"/>
                    </w:rPr>
                    <w:t>_8h-90per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pPr>
                    <w:jc w:val="center"/>
                    <w:rPr>
                      <w:color w:val="auto"/>
                      <w:kern w:val="0"/>
                      <w:szCs w:val="21"/>
                      <w:highlight w:val="none"/>
                    </w:rPr>
                  </w:pPr>
                  <w:r>
                    <w:rPr>
                      <w:rFonts w:hint="eastAsia"/>
                      <w:color w:val="auto"/>
                      <w:highlight w:val="none"/>
                    </w:rPr>
                    <w:t>中心城区</w:t>
                  </w:r>
                </w:p>
              </w:tc>
              <w:tc>
                <w:tcPr>
                  <w:tcW w:w="645" w:type="pct"/>
                  <w:vAlign w:val="center"/>
                </w:tcPr>
                <w:p>
                  <w:pPr>
                    <w:jc w:val="center"/>
                    <w:rPr>
                      <w:color w:val="auto"/>
                      <w:szCs w:val="21"/>
                      <w:highlight w:val="none"/>
                    </w:rPr>
                  </w:pPr>
                  <w:r>
                    <w:rPr>
                      <w:rFonts w:hint="eastAsia"/>
                      <w:color w:val="auto"/>
                      <w:szCs w:val="21"/>
                      <w:highlight w:val="none"/>
                    </w:rPr>
                    <w:t>2.61</w:t>
                  </w:r>
                </w:p>
              </w:tc>
              <w:tc>
                <w:tcPr>
                  <w:tcW w:w="638" w:type="pct"/>
                  <w:vAlign w:val="center"/>
                </w:tcPr>
                <w:p>
                  <w:pPr>
                    <w:jc w:val="center"/>
                    <w:rPr>
                      <w:color w:val="auto"/>
                      <w:szCs w:val="21"/>
                      <w:highlight w:val="none"/>
                    </w:rPr>
                  </w:pPr>
                  <w:r>
                    <w:rPr>
                      <w:rFonts w:hint="eastAsia"/>
                      <w:color w:val="auto"/>
                      <w:szCs w:val="21"/>
                      <w:highlight w:val="none"/>
                    </w:rPr>
                    <w:t>98.4</w:t>
                  </w:r>
                </w:p>
              </w:tc>
              <w:tc>
                <w:tcPr>
                  <w:tcW w:w="445" w:type="pct"/>
                  <w:vAlign w:val="center"/>
                </w:tcPr>
                <w:p>
                  <w:pPr>
                    <w:jc w:val="center"/>
                    <w:rPr>
                      <w:color w:val="auto"/>
                      <w:szCs w:val="21"/>
                      <w:highlight w:val="none"/>
                    </w:rPr>
                  </w:pPr>
                  <w:r>
                    <w:rPr>
                      <w:rFonts w:hint="eastAsia"/>
                      <w:color w:val="auto"/>
                      <w:szCs w:val="21"/>
                      <w:highlight w:val="none"/>
                    </w:rPr>
                    <w:t>5</w:t>
                  </w:r>
                </w:p>
              </w:tc>
              <w:tc>
                <w:tcPr>
                  <w:tcW w:w="534" w:type="pct"/>
                  <w:vAlign w:val="center"/>
                </w:tcPr>
                <w:p>
                  <w:pPr>
                    <w:jc w:val="center"/>
                    <w:rPr>
                      <w:color w:val="auto"/>
                      <w:szCs w:val="21"/>
                      <w:highlight w:val="none"/>
                    </w:rPr>
                  </w:pPr>
                  <w:r>
                    <w:rPr>
                      <w:rFonts w:hint="eastAsia"/>
                      <w:color w:val="auto"/>
                      <w:szCs w:val="21"/>
                      <w:highlight w:val="none"/>
                    </w:rPr>
                    <w:t>15</w:t>
                  </w:r>
                </w:p>
              </w:tc>
              <w:tc>
                <w:tcPr>
                  <w:tcW w:w="445" w:type="pct"/>
                  <w:vAlign w:val="center"/>
                </w:tcPr>
                <w:p>
                  <w:pPr>
                    <w:jc w:val="center"/>
                    <w:rPr>
                      <w:color w:val="auto"/>
                      <w:szCs w:val="21"/>
                      <w:highlight w:val="none"/>
                    </w:rPr>
                  </w:pPr>
                  <w:r>
                    <w:rPr>
                      <w:rFonts w:hint="eastAsia"/>
                      <w:color w:val="auto"/>
                      <w:szCs w:val="21"/>
                      <w:highlight w:val="none"/>
                    </w:rPr>
                    <w:t>32</w:t>
                  </w:r>
                </w:p>
              </w:tc>
              <w:tc>
                <w:tcPr>
                  <w:tcW w:w="460" w:type="pct"/>
                  <w:vAlign w:val="center"/>
                </w:tcPr>
                <w:p>
                  <w:pPr>
                    <w:jc w:val="center"/>
                    <w:rPr>
                      <w:color w:val="auto"/>
                      <w:szCs w:val="21"/>
                      <w:highlight w:val="none"/>
                    </w:rPr>
                  </w:pPr>
                  <w:r>
                    <w:rPr>
                      <w:rFonts w:hint="eastAsia"/>
                      <w:color w:val="auto"/>
                      <w:szCs w:val="21"/>
                      <w:highlight w:val="none"/>
                    </w:rPr>
                    <w:t>22</w:t>
                  </w:r>
                </w:p>
              </w:tc>
              <w:tc>
                <w:tcPr>
                  <w:tcW w:w="696" w:type="pct"/>
                  <w:vAlign w:val="center"/>
                </w:tcPr>
                <w:p>
                  <w:pPr>
                    <w:jc w:val="center"/>
                    <w:rPr>
                      <w:color w:val="auto"/>
                      <w:szCs w:val="21"/>
                      <w:highlight w:val="none"/>
                    </w:rPr>
                  </w:pPr>
                  <w:r>
                    <w:rPr>
                      <w:rFonts w:hint="eastAsia"/>
                      <w:color w:val="auto"/>
                      <w:szCs w:val="21"/>
                      <w:highlight w:val="none"/>
                    </w:rPr>
                    <w:t>1</w:t>
                  </w:r>
                </w:p>
              </w:tc>
              <w:tc>
                <w:tcPr>
                  <w:tcW w:w="481" w:type="pct"/>
                  <w:vAlign w:val="center"/>
                </w:tcPr>
                <w:p>
                  <w:pPr>
                    <w:jc w:val="center"/>
                    <w:rPr>
                      <w:color w:val="auto"/>
                      <w:szCs w:val="21"/>
                      <w:highlight w:val="none"/>
                    </w:rPr>
                  </w:pPr>
                  <w:r>
                    <w:rPr>
                      <w:rFonts w:hint="eastAsia"/>
                      <w:color w:val="auto"/>
                      <w:szCs w:val="21"/>
                      <w:highlight w:val="none"/>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9" w:type="pct"/>
                  <w:vAlign w:val="center"/>
                </w:tcPr>
                <w:p>
                  <w:pPr>
                    <w:jc w:val="center"/>
                    <w:rPr>
                      <w:bCs/>
                      <w:color w:val="auto"/>
                      <w:szCs w:val="21"/>
                      <w:highlight w:val="none"/>
                    </w:rPr>
                  </w:pPr>
                  <w:r>
                    <w:rPr>
                      <w:rFonts w:hint="eastAsia"/>
                      <w:bCs/>
                      <w:color w:val="auto"/>
                      <w:szCs w:val="21"/>
                      <w:highlight w:val="none"/>
                    </w:rPr>
                    <w:t>标准值</w:t>
                  </w:r>
                </w:p>
              </w:tc>
              <w:tc>
                <w:tcPr>
                  <w:tcW w:w="645" w:type="pct"/>
                  <w:vAlign w:val="center"/>
                </w:tcPr>
                <w:p>
                  <w:pPr>
                    <w:jc w:val="center"/>
                    <w:rPr>
                      <w:color w:val="auto"/>
                      <w:szCs w:val="21"/>
                      <w:highlight w:val="none"/>
                    </w:rPr>
                  </w:pPr>
                  <w:r>
                    <w:rPr>
                      <w:rFonts w:hint="eastAsia"/>
                      <w:color w:val="auto"/>
                      <w:szCs w:val="21"/>
                      <w:highlight w:val="none"/>
                    </w:rPr>
                    <w:t>/</w:t>
                  </w:r>
                </w:p>
              </w:tc>
              <w:tc>
                <w:tcPr>
                  <w:tcW w:w="638" w:type="pct"/>
                  <w:vAlign w:val="center"/>
                </w:tcPr>
                <w:p>
                  <w:pPr>
                    <w:jc w:val="center"/>
                    <w:rPr>
                      <w:color w:val="auto"/>
                      <w:szCs w:val="21"/>
                      <w:highlight w:val="none"/>
                    </w:rPr>
                  </w:pPr>
                  <w:r>
                    <w:rPr>
                      <w:rFonts w:hint="eastAsia"/>
                      <w:color w:val="auto"/>
                      <w:szCs w:val="21"/>
                      <w:highlight w:val="none"/>
                    </w:rPr>
                    <w:t>/</w:t>
                  </w:r>
                </w:p>
              </w:tc>
              <w:tc>
                <w:tcPr>
                  <w:tcW w:w="445" w:type="pct"/>
                  <w:vAlign w:val="center"/>
                </w:tcPr>
                <w:p>
                  <w:pPr>
                    <w:jc w:val="center"/>
                    <w:rPr>
                      <w:color w:val="auto"/>
                      <w:szCs w:val="21"/>
                      <w:highlight w:val="none"/>
                    </w:rPr>
                  </w:pPr>
                  <w:r>
                    <w:rPr>
                      <w:rFonts w:hint="eastAsia"/>
                      <w:color w:val="auto"/>
                      <w:szCs w:val="21"/>
                      <w:highlight w:val="none"/>
                    </w:rPr>
                    <w:t>60</w:t>
                  </w:r>
                </w:p>
              </w:tc>
              <w:tc>
                <w:tcPr>
                  <w:tcW w:w="534" w:type="pct"/>
                  <w:vAlign w:val="center"/>
                </w:tcPr>
                <w:p>
                  <w:pPr>
                    <w:jc w:val="center"/>
                    <w:rPr>
                      <w:color w:val="auto"/>
                      <w:szCs w:val="21"/>
                      <w:highlight w:val="none"/>
                    </w:rPr>
                  </w:pPr>
                  <w:r>
                    <w:rPr>
                      <w:rFonts w:hint="eastAsia"/>
                      <w:color w:val="auto"/>
                      <w:szCs w:val="21"/>
                      <w:highlight w:val="none"/>
                    </w:rPr>
                    <w:t>40</w:t>
                  </w:r>
                </w:p>
              </w:tc>
              <w:tc>
                <w:tcPr>
                  <w:tcW w:w="445" w:type="pct"/>
                  <w:vAlign w:val="center"/>
                </w:tcPr>
                <w:p>
                  <w:pPr>
                    <w:jc w:val="center"/>
                    <w:rPr>
                      <w:color w:val="auto"/>
                      <w:szCs w:val="21"/>
                      <w:highlight w:val="none"/>
                    </w:rPr>
                  </w:pPr>
                  <w:r>
                    <w:rPr>
                      <w:rFonts w:hint="eastAsia"/>
                      <w:color w:val="auto"/>
                      <w:szCs w:val="21"/>
                      <w:highlight w:val="none"/>
                    </w:rPr>
                    <w:t>60</w:t>
                  </w:r>
                </w:p>
              </w:tc>
              <w:tc>
                <w:tcPr>
                  <w:tcW w:w="460" w:type="pct"/>
                  <w:vAlign w:val="center"/>
                </w:tcPr>
                <w:p>
                  <w:pPr>
                    <w:jc w:val="center"/>
                    <w:rPr>
                      <w:color w:val="auto"/>
                      <w:szCs w:val="21"/>
                      <w:highlight w:val="none"/>
                    </w:rPr>
                  </w:pPr>
                  <w:r>
                    <w:rPr>
                      <w:rFonts w:hint="eastAsia"/>
                      <w:color w:val="auto"/>
                      <w:szCs w:val="21"/>
                      <w:highlight w:val="none"/>
                    </w:rPr>
                    <w:t>30</w:t>
                  </w:r>
                </w:p>
              </w:tc>
              <w:tc>
                <w:tcPr>
                  <w:tcW w:w="696" w:type="pct"/>
                  <w:vAlign w:val="center"/>
                </w:tcPr>
                <w:p>
                  <w:pPr>
                    <w:jc w:val="center"/>
                    <w:rPr>
                      <w:color w:val="auto"/>
                      <w:szCs w:val="21"/>
                      <w:highlight w:val="none"/>
                    </w:rPr>
                  </w:pPr>
                  <w:r>
                    <w:rPr>
                      <w:rFonts w:hint="eastAsia"/>
                      <w:color w:val="auto"/>
                      <w:szCs w:val="21"/>
                      <w:highlight w:val="none"/>
                    </w:rPr>
                    <w:t>4</w:t>
                  </w:r>
                </w:p>
              </w:tc>
              <w:tc>
                <w:tcPr>
                  <w:tcW w:w="481" w:type="pct"/>
                  <w:vAlign w:val="center"/>
                </w:tcPr>
                <w:p>
                  <w:pPr>
                    <w:jc w:val="center"/>
                    <w:rPr>
                      <w:color w:val="auto"/>
                      <w:szCs w:val="21"/>
                      <w:highlight w:val="none"/>
                    </w:rPr>
                  </w:pPr>
                  <w:r>
                    <w:rPr>
                      <w:rFonts w:hint="eastAsia"/>
                      <w:color w:val="auto"/>
                      <w:szCs w:val="21"/>
                      <w:highlight w:val="none"/>
                    </w:rPr>
                    <w:t>16</w:t>
                  </w:r>
                  <w:r>
                    <w:rPr>
                      <w:color w:val="auto"/>
                      <w:szCs w:val="21"/>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649" w:type="pct"/>
                  <w:vAlign w:val="center"/>
                </w:tcPr>
                <w:p>
                  <w:pPr>
                    <w:jc w:val="center"/>
                    <w:rPr>
                      <w:bCs/>
                      <w:color w:val="auto"/>
                      <w:szCs w:val="21"/>
                      <w:highlight w:val="none"/>
                    </w:rPr>
                  </w:pPr>
                  <w:r>
                    <w:rPr>
                      <w:rFonts w:hint="eastAsia"/>
                      <w:bCs/>
                      <w:color w:val="auto"/>
                      <w:szCs w:val="21"/>
                      <w:highlight w:val="none"/>
                    </w:rPr>
                    <w:t>达标情况</w:t>
                  </w:r>
                </w:p>
              </w:tc>
              <w:tc>
                <w:tcPr>
                  <w:tcW w:w="645" w:type="pct"/>
                  <w:vAlign w:val="center"/>
                </w:tcPr>
                <w:p>
                  <w:pPr>
                    <w:jc w:val="center"/>
                    <w:rPr>
                      <w:color w:val="auto"/>
                      <w:szCs w:val="21"/>
                      <w:highlight w:val="none"/>
                    </w:rPr>
                  </w:pPr>
                  <w:r>
                    <w:rPr>
                      <w:rFonts w:hint="eastAsia"/>
                      <w:color w:val="auto"/>
                      <w:szCs w:val="21"/>
                      <w:highlight w:val="none"/>
                    </w:rPr>
                    <w:t>/</w:t>
                  </w:r>
                </w:p>
              </w:tc>
              <w:tc>
                <w:tcPr>
                  <w:tcW w:w="638" w:type="pct"/>
                  <w:vAlign w:val="center"/>
                </w:tcPr>
                <w:p>
                  <w:pPr>
                    <w:jc w:val="center"/>
                    <w:rPr>
                      <w:color w:val="auto"/>
                      <w:szCs w:val="21"/>
                      <w:highlight w:val="none"/>
                    </w:rPr>
                  </w:pPr>
                  <w:r>
                    <w:rPr>
                      <w:rFonts w:hint="eastAsia"/>
                      <w:color w:val="auto"/>
                      <w:szCs w:val="21"/>
                      <w:highlight w:val="none"/>
                    </w:rPr>
                    <w:t>/</w:t>
                  </w:r>
                </w:p>
              </w:tc>
              <w:tc>
                <w:tcPr>
                  <w:tcW w:w="445" w:type="pct"/>
                  <w:vAlign w:val="center"/>
                </w:tcPr>
                <w:p>
                  <w:pPr>
                    <w:jc w:val="center"/>
                    <w:rPr>
                      <w:color w:val="auto"/>
                      <w:szCs w:val="21"/>
                      <w:highlight w:val="none"/>
                    </w:rPr>
                  </w:pPr>
                  <w:r>
                    <w:rPr>
                      <w:rFonts w:hint="eastAsia"/>
                      <w:color w:val="auto"/>
                      <w:szCs w:val="21"/>
                      <w:highlight w:val="none"/>
                    </w:rPr>
                    <w:t>达标</w:t>
                  </w:r>
                </w:p>
              </w:tc>
              <w:tc>
                <w:tcPr>
                  <w:tcW w:w="534" w:type="pct"/>
                  <w:vAlign w:val="center"/>
                </w:tcPr>
                <w:p>
                  <w:pPr>
                    <w:jc w:val="center"/>
                    <w:rPr>
                      <w:color w:val="auto"/>
                      <w:szCs w:val="21"/>
                      <w:highlight w:val="none"/>
                    </w:rPr>
                  </w:pPr>
                  <w:r>
                    <w:rPr>
                      <w:rFonts w:hint="eastAsia"/>
                      <w:color w:val="auto"/>
                      <w:szCs w:val="21"/>
                      <w:highlight w:val="none"/>
                    </w:rPr>
                    <w:t>达标</w:t>
                  </w:r>
                </w:p>
              </w:tc>
              <w:tc>
                <w:tcPr>
                  <w:tcW w:w="445" w:type="pct"/>
                  <w:vAlign w:val="center"/>
                </w:tcPr>
                <w:p>
                  <w:pPr>
                    <w:jc w:val="center"/>
                    <w:rPr>
                      <w:color w:val="auto"/>
                      <w:szCs w:val="21"/>
                      <w:highlight w:val="none"/>
                    </w:rPr>
                  </w:pPr>
                  <w:r>
                    <w:rPr>
                      <w:rFonts w:hint="eastAsia"/>
                      <w:color w:val="auto"/>
                      <w:szCs w:val="21"/>
                      <w:highlight w:val="none"/>
                    </w:rPr>
                    <w:t>达标</w:t>
                  </w:r>
                </w:p>
              </w:tc>
              <w:tc>
                <w:tcPr>
                  <w:tcW w:w="460" w:type="pct"/>
                  <w:vAlign w:val="center"/>
                </w:tcPr>
                <w:p>
                  <w:pPr>
                    <w:jc w:val="center"/>
                    <w:rPr>
                      <w:color w:val="auto"/>
                      <w:szCs w:val="21"/>
                      <w:highlight w:val="none"/>
                    </w:rPr>
                  </w:pPr>
                  <w:r>
                    <w:rPr>
                      <w:rFonts w:hint="eastAsia"/>
                      <w:color w:val="auto"/>
                      <w:szCs w:val="21"/>
                      <w:highlight w:val="none"/>
                    </w:rPr>
                    <w:t>达标</w:t>
                  </w:r>
                </w:p>
              </w:tc>
              <w:tc>
                <w:tcPr>
                  <w:tcW w:w="696" w:type="pct"/>
                  <w:vAlign w:val="center"/>
                </w:tcPr>
                <w:p>
                  <w:pPr>
                    <w:jc w:val="center"/>
                    <w:rPr>
                      <w:color w:val="auto"/>
                      <w:szCs w:val="21"/>
                      <w:highlight w:val="none"/>
                    </w:rPr>
                  </w:pPr>
                  <w:r>
                    <w:rPr>
                      <w:rFonts w:hint="eastAsia"/>
                      <w:color w:val="auto"/>
                      <w:szCs w:val="21"/>
                      <w:highlight w:val="none"/>
                    </w:rPr>
                    <w:t>达标</w:t>
                  </w:r>
                </w:p>
              </w:tc>
              <w:tc>
                <w:tcPr>
                  <w:tcW w:w="481" w:type="pct"/>
                  <w:vAlign w:val="center"/>
                </w:tcPr>
                <w:p>
                  <w:pPr>
                    <w:jc w:val="center"/>
                    <w:rPr>
                      <w:color w:val="auto"/>
                      <w:szCs w:val="21"/>
                      <w:highlight w:val="none"/>
                    </w:rPr>
                  </w:pPr>
                  <w:r>
                    <w:rPr>
                      <w:rFonts w:hint="eastAsia"/>
                      <w:color w:val="auto"/>
                      <w:szCs w:val="21"/>
                      <w:highlight w:val="none"/>
                    </w:rPr>
                    <w:t>达标</w:t>
                  </w:r>
                </w:p>
              </w:tc>
            </w:tr>
          </w:tbl>
          <w:p>
            <w:pPr>
              <w:pStyle w:val="42"/>
              <w:keepNext w:val="0"/>
              <w:keepLines w:val="0"/>
              <w:rPr>
                <w:color w:val="auto"/>
                <w:highlight w:val="none"/>
              </w:rPr>
            </w:pPr>
            <w:r>
              <w:rPr>
                <w:rFonts w:hint="eastAsia"/>
                <w:color w:val="auto"/>
                <w:highlight w:val="none"/>
              </w:rPr>
              <w:t>3.1.1.3 特征因子</w:t>
            </w:r>
          </w:p>
          <w:p>
            <w:pPr>
              <w:pStyle w:val="27"/>
              <w:snapToGrid w:val="0"/>
              <w:spacing w:line="360" w:lineRule="auto"/>
              <w:ind w:firstLine="480" w:firstLineChars="200"/>
              <w:rPr>
                <w:rFonts w:hint="default" w:ascii="Times New Roman" w:hAnsi="Times New Roman" w:eastAsia="宋体"/>
                <w:color w:val="auto"/>
                <w:highlight w:val="none"/>
              </w:rPr>
            </w:pPr>
            <w:r>
              <w:rPr>
                <w:rFonts w:ascii="Times New Roman" w:hAnsi="Times New Roman" w:eastAsia="宋体"/>
                <w:color w:val="auto"/>
                <w:highlight w:val="none"/>
              </w:rPr>
              <w:t>1.监测点和监测因子</w:t>
            </w:r>
          </w:p>
          <w:p>
            <w:pPr>
              <w:pStyle w:val="27"/>
              <w:snapToGrid w:val="0"/>
              <w:spacing w:line="360" w:lineRule="auto"/>
              <w:ind w:firstLine="480" w:firstLineChars="200"/>
              <w:rPr>
                <w:rFonts w:hint="default" w:ascii="Times New Roman" w:hAnsi="Times New Roman" w:eastAsia="宋体"/>
                <w:color w:val="auto"/>
                <w:highlight w:val="none"/>
              </w:rPr>
            </w:pPr>
            <w:r>
              <w:rPr>
                <w:rFonts w:ascii="Times New Roman" w:hAnsi="Times New Roman"/>
                <w:color w:val="auto"/>
                <w:highlight w:val="none"/>
              </w:rPr>
              <w:t>根据《建设项目环境影响报告表编制技术指南(污染影响类)》(试行)要求，排放国家、地方环境空气质量标准中有标准限值要求的特征污染物时引用建设项目周边5km范围内近3年的现有监测数据，无相关数据的选择当季主导风向下风向1个点位补充不少于3天的监测数据</w:t>
            </w:r>
            <w:r>
              <w:rPr>
                <w:rFonts w:ascii="Times New Roman" w:hAnsi="Times New Roman" w:eastAsia="宋体"/>
                <w:color w:val="auto"/>
                <w:highlight w:val="none"/>
              </w:rPr>
              <w:t>。</w:t>
            </w:r>
          </w:p>
          <w:p>
            <w:pPr>
              <w:pStyle w:val="27"/>
              <w:snapToGrid w:val="0"/>
              <w:spacing w:line="360" w:lineRule="auto"/>
              <w:ind w:firstLine="480" w:firstLineChars="200"/>
              <w:rPr>
                <w:rFonts w:hint="default" w:ascii="Times New Roman" w:hAnsi="Times New Roman" w:eastAsia="宋体"/>
                <w:color w:val="auto"/>
                <w:highlight w:val="none"/>
              </w:rPr>
            </w:pPr>
            <w:r>
              <w:rPr>
                <w:rFonts w:ascii="Times New Roman" w:hAnsi="Times New Roman"/>
                <w:color w:val="auto"/>
                <w:highlight w:val="none"/>
              </w:rPr>
              <w:t>本项目特征因子为TSP，本次评价引用福建中检创信检测技术有限公司于2023年6月</w:t>
            </w:r>
            <w:r>
              <w:rPr>
                <w:rFonts w:ascii="Times New Roman" w:hAnsi="Times New Roman" w:eastAsia="宋体"/>
                <w:color w:val="auto"/>
                <w:highlight w:val="none"/>
              </w:rPr>
              <w:t>12</w:t>
            </w:r>
            <w:r>
              <w:rPr>
                <w:rFonts w:ascii="Times New Roman" w:hAnsi="Times New Roman"/>
                <w:color w:val="auto"/>
                <w:highlight w:val="none"/>
              </w:rPr>
              <w:t>日~6月</w:t>
            </w:r>
            <w:r>
              <w:rPr>
                <w:rFonts w:ascii="Times New Roman" w:hAnsi="Times New Roman" w:eastAsia="宋体"/>
                <w:color w:val="auto"/>
                <w:highlight w:val="none"/>
              </w:rPr>
              <w:t>14</w:t>
            </w:r>
            <w:r>
              <w:rPr>
                <w:rFonts w:ascii="Times New Roman" w:hAnsi="Times New Roman"/>
                <w:color w:val="auto"/>
                <w:highlight w:val="none"/>
              </w:rPr>
              <w:t>日在“</w:t>
            </w:r>
            <w:r>
              <w:rPr>
                <w:color w:val="auto"/>
                <w:spacing w:val="8"/>
                <w:highlight w:val="none"/>
              </w:rPr>
              <w:t>原辅料储运及中间冷料破碎项目</w:t>
            </w:r>
            <w:r>
              <w:rPr>
                <w:rFonts w:ascii="Times New Roman" w:hAnsi="Times New Roman"/>
                <w:color w:val="auto"/>
                <w:highlight w:val="none"/>
              </w:rPr>
              <w:t>环境影响评价”中监测点位“</w:t>
            </w:r>
            <w:r>
              <w:rPr>
                <w:rFonts w:ascii="Times New Roman" w:hAnsi="Times New Roman" w:eastAsia="宋体"/>
                <w:color w:val="auto"/>
                <w:highlight w:val="none"/>
              </w:rPr>
              <w:t>Q1#</w:t>
            </w:r>
            <w:r>
              <w:rPr>
                <w:rFonts w:ascii="Times New Roman" w:hAnsi="Times New Roman"/>
                <w:color w:val="auto"/>
                <w:highlight w:val="none"/>
              </w:rPr>
              <w:t>中铜东南铜业有限公司厂区下风向”进行监测的数据（监测报告：HSHJ202621908，详见附件</w:t>
            </w:r>
            <w:r>
              <w:rPr>
                <w:rFonts w:ascii="Times New Roman" w:hAnsi="Times New Roman" w:eastAsia="宋体"/>
                <w:color w:val="auto"/>
                <w:highlight w:val="none"/>
              </w:rPr>
              <w:t>7</w:t>
            </w:r>
            <w:r>
              <w:rPr>
                <w:rFonts w:ascii="Times New Roman" w:hAnsi="Times New Roman"/>
                <w:color w:val="auto"/>
                <w:highlight w:val="none"/>
              </w:rPr>
              <w:t>）。监测坐标</w:t>
            </w:r>
            <w:r>
              <w:rPr>
                <w:rFonts w:ascii="Times New Roman" w:hAnsi="Times New Roman" w:eastAsia="宋体"/>
                <w:color w:val="auto"/>
                <w:highlight w:val="none"/>
              </w:rPr>
              <w:t>：</w:t>
            </w:r>
            <w:r>
              <w:rPr>
                <w:rFonts w:ascii="Times New Roman" w:hAnsi="Times New Roman"/>
                <w:color w:val="auto"/>
                <w:highlight w:val="none"/>
              </w:rPr>
              <w:t>东经</w:t>
            </w:r>
            <w:r>
              <w:rPr>
                <w:rFonts w:ascii="Times New Roman" w:hAnsi="Times New Roman" w:eastAsia="宋体"/>
                <w:color w:val="auto"/>
                <w:highlight w:val="none"/>
              </w:rPr>
              <w:t>119</w:t>
            </w:r>
            <w:r>
              <w:rPr>
                <w:rFonts w:ascii="Times New Roman" w:hAnsi="Times New Roman"/>
                <w:color w:val="auto"/>
                <w:highlight w:val="none"/>
              </w:rPr>
              <w:t>°</w:t>
            </w:r>
            <w:r>
              <w:rPr>
                <w:rFonts w:ascii="Times New Roman" w:hAnsi="Times New Roman" w:eastAsia="宋体"/>
                <w:color w:val="auto"/>
                <w:highlight w:val="none"/>
              </w:rPr>
              <w:t>37</w:t>
            </w:r>
            <w:r>
              <w:rPr>
                <w:rFonts w:ascii="Times New Roman" w:hAnsi="Times New Roman"/>
                <w:color w:val="auto"/>
                <w:highlight w:val="none"/>
              </w:rPr>
              <w:t>'</w:t>
            </w:r>
            <w:r>
              <w:rPr>
                <w:rFonts w:ascii="Times New Roman" w:hAnsi="Times New Roman" w:eastAsia="宋体"/>
                <w:color w:val="auto"/>
                <w:highlight w:val="none"/>
              </w:rPr>
              <w:t>27.91</w:t>
            </w:r>
            <w:r>
              <w:rPr>
                <w:rFonts w:ascii="Times New Roman" w:hAnsi="Times New Roman"/>
                <w:color w:val="auto"/>
                <w:highlight w:val="none"/>
              </w:rPr>
              <w:t>"，北纬</w:t>
            </w:r>
            <w:r>
              <w:rPr>
                <w:rFonts w:ascii="Times New Roman" w:hAnsi="Times New Roman" w:eastAsia="宋体"/>
                <w:color w:val="auto"/>
                <w:highlight w:val="none"/>
              </w:rPr>
              <w:t>26</w:t>
            </w:r>
            <w:r>
              <w:rPr>
                <w:rFonts w:ascii="Times New Roman" w:hAnsi="Times New Roman"/>
                <w:color w:val="auto"/>
                <w:highlight w:val="none"/>
              </w:rPr>
              <w:t>°</w:t>
            </w:r>
            <w:r>
              <w:rPr>
                <w:rFonts w:ascii="Times New Roman" w:hAnsi="Times New Roman" w:eastAsia="宋体"/>
                <w:color w:val="auto"/>
                <w:highlight w:val="none"/>
              </w:rPr>
              <w:t>44</w:t>
            </w:r>
            <w:r>
              <w:rPr>
                <w:rFonts w:ascii="Times New Roman" w:hAnsi="Times New Roman"/>
                <w:color w:val="auto"/>
                <w:highlight w:val="none"/>
              </w:rPr>
              <w:t>'</w:t>
            </w:r>
            <w:r>
              <w:rPr>
                <w:rFonts w:ascii="Times New Roman" w:hAnsi="Times New Roman" w:eastAsia="宋体"/>
                <w:color w:val="auto"/>
                <w:highlight w:val="none"/>
              </w:rPr>
              <w:t>2.94</w:t>
            </w:r>
            <w:r>
              <w:rPr>
                <w:rFonts w:ascii="Times New Roman" w:hAnsi="Times New Roman"/>
                <w:color w:val="auto"/>
                <w:highlight w:val="none"/>
              </w:rPr>
              <w:t>"。该监测点位于项目区西侧</w:t>
            </w:r>
            <w:r>
              <w:rPr>
                <w:rFonts w:hint="eastAsia" w:ascii="Times New Roman" w:hAnsi="Times New Roman"/>
                <w:color w:val="auto"/>
                <w:highlight w:val="none"/>
                <w:lang w:val="en-US" w:eastAsia="zh-CN"/>
              </w:rPr>
              <w:t>1440</w:t>
            </w:r>
            <w:r>
              <w:rPr>
                <w:rFonts w:ascii="Times New Roman" w:hAnsi="Times New Roman"/>
                <w:color w:val="auto"/>
                <w:highlight w:val="none"/>
              </w:rPr>
              <w:t>m，检测时间未超过3年，且该检测点所在区域与项目区地理位置邻近，地形、气候条件相近，数据引用可行。</w:t>
            </w:r>
          </w:p>
          <w:p>
            <w:pPr>
              <w:pStyle w:val="27"/>
              <w:snapToGrid w:val="0"/>
              <w:spacing w:line="360" w:lineRule="auto"/>
              <w:ind w:firstLine="480" w:firstLineChars="200"/>
              <w:rPr>
                <w:rFonts w:ascii="Times New Roman" w:hAnsi="Times New Roman"/>
                <w:color w:val="auto"/>
                <w:highlight w:val="none"/>
              </w:rPr>
            </w:pPr>
            <w:r>
              <w:rPr>
                <w:rFonts w:ascii="Times New Roman" w:hAnsi="Times New Roman"/>
                <w:color w:val="auto"/>
                <w:highlight w:val="none"/>
              </w:rPr>
              <w:t>监测点位布设情况详见表3.1.3和图</w:t>
            </w:r>
            <w:r>
              <w:rPr>
                <w:rFonts w:ascii="Times New Roman" w:hAnsi="Times New Roman" w:eastAsia="宋体"/>
                <w:color w:val="auto"/>
                <w:highlight w:val="none"/>
              </w:rPr>
              <w:t>3.1-1</w:t>
            </w:r>
            <w:r>
              <w:rPr>
                <w:rFonts w:ascii="Times New Roman" w:hAnsi="Times New Roman"/>
                <w:color w:val="auto"/>
                <w:highlight w:val="none"/>
              </w:rPr>
              <w:t>，监测结果见表</w:t>
            </w:r>
            <w:r>
              <w:rPr>
                <w:rFonts w:ascii="Times New Roman" w:hAnsi="Times New Roman" w:eastAsia="宋体"/>
                <w:color w:val="auto"/>
                <w:highlight w:val="none"/>
              </w:rPr>
              <w:t>3.1.4</w:t>
            </w:r>
            <w:r>
              <w:rPr>
                <w:rFonts w:ascii="Times New Roman" w:hAnsi="Times New Roman"/>
                <w:color w:val="auto"/>
                <w:highlight w:val="none"/>
              </w:rPr>
              <w:t>。根据补充监测数据，</w:t>
            </w:r>
            <w:r>
              <w:rPr>
                <w:rFonts w:ascii="Times New Roman" w:hAnsi="Times New Roman" w:eastAsia="宋体"/>
                <w:color w:val="auto"/>
                <w:highlight w:val="none"/>
              </w:rPr>
              <w:t>项目所在地</w:t>
            </w:r>
            <w:r>
              <w:rPr>
                <w:rFonts w:ascii="Times New Roman" w:hAnsi="Times New Roman"/>
                <w:color w:val="auto"/>
                <w:highlight w:val="none"/>
              </w:rPr>
              <w:t>环境空气中TSP浓度符合《环境空气质量标准》（GB3095-20</w:t>
            </w:r>
            <w:r>
              <w:rPr>
                <w:rFonts w:ascii="Times New Roman" w:hAnsi="Times New Roman" w:eastAsia="宋体"/>
                <w:color w:val="auto"/>
                <w:highlight w:val="none"/>
              </w:rPr>
              <w:t>26</w:t>
            </w:r>
            <w:r>
              <w:rPr>
                <w:rFonts w:ascii="Times New Roman" w:hAnsi="Times New Roman"/>
                <w:color w:val="auto"/>
                <w:highlight w:val="none"/>
              </w:rPr>
              <w:t>）</w:t>
            </w:r>
            <w:r>
              <w:rPr>
                <w:rFonts w:ascii="Times New Roman" w:hAnsi="Times New Roman" w:eastAsia="宋体"/>
                <w:color w:val="auto"/>
                <w:highlight w:val="none"/>
              </w:rPr>
              <w:t>表2</w:t>
            </w:r>
            <w:r>
              <w:rPr>
                <w:rFonts w:ascii="Times New Roman" w:hAnsi="Times New Roman"/>
                <w:color w:val="auto"/>
                <w:highlight w:val="none"/>
              </w:rPr>
              <w:t>中的限值0.3mg/m</w:t>
            </w:r>
            <w:r>
              <w:rPr>
                <w:rFonts w:ascii="Times New Roman" w:hAnsi="Times New Roman"/>
                <w:color w:val="auto"/>
                <w:highlight w:val="none"/>
                <w:vertAlign w:val="superscript"/>
              </w:rPr>
              <w:t>3</w:t>
            </w:r>
            <w:r>
              <w:rPr>
                <w:rFonts w:ascii="Times New Roman" w:hAnsi="Times New Roman"/>
                <w:color w:val="auto"/>
                <w:highlight w:val="none"/>
              </w:rPr>
              <w:t>。</w:t>
            </w:r>
          </w:p>
          <w:p>
            <w:pPr>
              <w:pStyle w:val="27"/>
              <w:snapToGrid w:val="0"/>
              <w:spacing w:line="360" w:lineRule="auto"/>
              <w:ind w:firstLine="480" w:firstLineChars="200"/>
              <w:rPr>
                <w:rFonts w:hint="default" w:ascii="Times New Roman" w:hAnsi="Times New Roman"/>
                <w:color w:val="auto"/>
                <w:highlight w:val="none"/>
              </w:rPr>
            </w:pPr>
          </w:p>
          <w:p>
            <w:pPr>
              <w:pStyle w:val="33"/>
              <w:rPr>
                <w:bCs/>
                <w:color w:val="auto"/>
                <w:spacing w:val="6"/>
                <w:highlight w:val="none"/>
              </w:rPr>
            </w:pPr>
            <w:r>
              <w:rPr>
                <w:bCs/>
                <w:color w:val="auto"/>
                <w:spacing w:val="6"/>
                <w:highlight w:val="none"/>
              </w:rPr>
              <w:t>表</w:t>
            </w:r>
            <w:r>
              <w:rPr>
                <w:rFonts w:eastAsia="Times New Roman"/>
                <w:bCs/>
                <w:color w:val="auto"/>
                <w:spacing w:val="6"/>
                <w:highlight w:val="none"/>
              </w:rPr>
              <w:t>3.1</w:t>
            </w:r>
            <w:r>
              <w:rPr>
                <w:rFonts w:hint="eastAsia" w:eastAsia="宋体"/>
                <w:bCs/>
                <w:color w:val="auto"/>
                <w:spacing w:val="6"/>
                <w:highlight w:val="none"/>
              </w:rPr>
              <w:t>.3</w:t>
            </w:r>
            <w:r>
              <w:rPr>
                <w:rFonts w:eastAsia="Times New Roman"/>
                <w:bCs/>
                <w:color w:val="auto"/>
                <w:spacing w:val="6"/>
                <w:highlight w:val="none"/>
              </w:rPr>
              <w:t xml:space="preserve">  </w:t>
            </w:r>
            <w:r>
              <w:rPr>
                <w:bCs/>
                <w:color w:val="auto"/>
                <w:spacing w:val="6"/>
                <w:highlight w:val="none"/>
              </w:rPr>
              <w:t>环境空气现状监测点位布设情况</w:t>
            </w:r>
          </w:p>
          <w:tbl>
            <w:tblPr>
              <w:tblStyle w:val="21"/>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2033"/>
              <w:gridCol w:w="1323"/>
              <w:gridCol w:w="2998"/>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93" w:type="pct"/>
                  <w:vAlign w:val="center"/>
                </w:tcPr>
                <w:p>
                  <w:pPr>
                    <w:pStyle w:val="50"/>
                    <w:rPr>
                      <w:color w:val="auto"/>
                      <w:highlight w:val="none"/>
                    </w:rPr>
                  </w:pPr>
                  <w:r>
                    <w:rPr>
                      <w:rFonts w:hint="eastAsia"/>
                      <w:color w:val="auto"/>
                      <w:highlight w:val="none"/>
                    </w:rPr>
                    <w:t>监测点位</w:t>
                  </w:r>
                </w:p>
              </w:tc>
              <w:tc>
                <w:tcPr>
                  <w:tcW w:w="1202" w:type="pct"/>
                  <w:vAlign w:val="center"/>
                </w:tcPr>
                <w:p>
                  <w:pPr>
                    <w:pStyle w:val="50"/>
                    <w:rPr>
                      <w:color w:val="auto"/>
                      <w:highlight w:val="none"/>
                    </w:rPr>
                  </w:pPr>
                  <w:r>
                    <w:rPr>
                      <w:rFonts w:hint="eastAsia"/>
                      <w:color w:val="auto"/>
                      <w:highlight w:val="none"/>
                    </w:rPr>
                    <w:t>位置</w:t>
                  </w:r>
                </w:p>
              </w:tc>
              <w:tc>
                <w:tcPr>
                  <w:tcW w:w="782" w:type="pct"/>
                  <w:vAlign w:val="center"/>
                </w:tcPr>
                <w:p>
                  <w:pPr>
                    <w:pStyle w:val="50"/>
                    <w:rPr>
                      <w:color w:val="auto"/>
                      <w:highlight w:val="none"/>
                    </w:rPr>
                  </w:pPr>
                  <w:r>
                    <w:rPr>
                      <w:rFonts w:hint="eastAsia"/>
                      <w:color w:val="auto"/>
                      <w:highlight w:val="none"/>
                    </w:rPr>
                    <w:t>监测因子</w:t>
                  </w:r>
                </w:p>
              </w:tc>
              <w:tc>
                <w:tcPr>
                  <w:tcW w:w="1772" w:type="pct"/>
                  <w:vAlign w:val="center"/>
                </w:tcPr>
                <w:p>
                  <w:pPr>
                    <w:pStyle w:val="50"/>
                    <w:rPr>
                      <w:color w:val="auto"/>
                      <w:highlight w:val="none"/>
                    </w:rPr>
                  </w:pPr>
                  <w:r>
                    <w:rPr>
                      <w:rFonts w:hint="eastAsia"/>
                      <w:color w:val="auto"/>
                      <w:highlight w:val="none"/>
                    </w:rPr>
                    <w:t>与本项目距离(m)</w:t>
                  </w:r>
                </w:p>
              </w:tc>
              <w:tc>
                <w:tcPr>
                  <w:tcW w:w="548" w:type="pct"/>
                  <w:vAlign w:val="center"/>
                </w:tcPr>
                <w:p>
                  <w:pPr>
                    <w:pStyle w:val="50"/>
                    <w:rPr>
                      <w:color w:val="auto"/>
                      <w:highlight w:val="none"/>
                    </w:rPr>
                  </w:pPr>
                  <w:r>
                    <w:rPr>
                      <w:rFonts w:hint="eastAsia"/>
                      <w:color w:val="auto"/>
                      <w:highlight w:val="none"/>
                    </w:rPr>
                    <w:t>方位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 w:type="pct"/>
                  <w:vAlign w:val="center"/>
                </w:tcPr>
                <w:p>
                  <w:pPr>
                    <w:pStyle w:val="50"/>
                    <w:rPr>
                      <w:color w:val="auto"/>
                      <w:highlight w:val="none"/>
                    </w:rPr>
                  </w:pPr>
                  <w:r>
                    <w:rPr>
                      <w:rFonts w:hint="eastAsia"/>
                      <w:color w:val="auto"/>
                      <w:highlight w:val="none"/>
                    </w:rPr>
                    <w:t>Q1#</w:t>
                  </w:r>
                </w:p>
              </w:tc>
              <w:tc>
                <w:tcPr>
                  <w:tcW w:w="1202" w:type="pct"/>
                  <w:vAlign w:val="center"/>
                </w:tcPr>
                <w:p>
                  <w:pPr>
                    <w:pStyle w:val="50"/>
                    <w:rPr>
                      <w:color w:val="auto"/>
                      <w:highlight w:val="none"/>
                    </w:rPr>
                  </w:pPr>
                  <w:r>
                    <w:rPr>
                      <w:rFonts w:hint="eastAsia"/>
                      <w:color w:val="auto"/>
                      <w:highlight w:val="none"/>
                    </w:rPr>
                    <w:t>中铜东南铜业有限公司厂区下风向</w:t>
                  </w:r>
                </w:p>
              </w:tc>
              <w:tc>
                <w:tcPr>
                  <w:tcW w:w="782" w:type="pct"/>
                  <w:vAlign w:val="center"/>
                </w:tcPr>
                <w:p>
                  <w:pPr>
                    <w:pStyle w:val="50"/>
                    <w:rPr>
                      <w:color w:val="auto"/>
                      <w:highlight w:val="none"/>
                    </w:rPr>
                  </w:pPr>
                  <w:r>
                    <w:rPr>
                      <w:rFonts w:hint="eastAsia"/>
                      <w:color w:val="auto"/>
                      <w:highlight w:val="none"/>
                    </w:rPr>
                    <w:t>TSP</w:t>
                  </w:r>
                </w:p>
              </w:tc>
              <w:tc>
                <w:tcPr>
                  <w:tcW w:w="1772" w:type="pct"/>
                  <w:vAlign w:val="center"/>
                </w:tcPr>
                <w:p>
                  <w:pPr>
                    <w:pStyle w:val="50"/>
                    <w:rPr>
                      <w:rFonts w:hint="default" w:eastAsia="宋体"/>
                      <w:color w:val="auto"/>
                      <w:highlight w:val="none"/>
                      <w:lang w:val="en-US" w:eastAsia="zh-CN"/>
                    </w:rPr>
                  </w:pPr>
                  <w:r>
                    <w:rPr>
                      <w:rFonts w:hint="eastAsia"/>
                      <w:color w:val="auto"/>
                      <w:highlight w:val="none"/>
                      <w:lang w:val="en-US" w:eastAsia="zh-CN"/>
                    </w:rPr>
                    <w:t>1440</w:t>
                  </w:r>
                </w:p>
              </w:tc>
              <w:tc>
                <w:tcPr>
                  <w:tcW w:w="548" w:type="pct"/>
                  <w:vAlign w:val="center"/>
                </w:tcPr>
                <w:p>
                  <w:pPr>
                    <w:pStyle w:val="50"/>
                    <w:rPr>
                      <w:color w:val="auto"/>
                      <w:highlight w:val="none"/>
                    </w:rPr>
                  </w:pPr>
                  <w:r>
                    <w:rPr>
                      <w:rFonts w:hint="eastAsia"/>
                      <w:color w:val="auto"/>
                      <w:highlight w:val="none"/>
                    </w:rPr>
                    <w:t>西侧</w:t>
                  </w:r>
                </w:p>
              </w:tc>
            </w:tr>
          </w:tbl>
          <w:p>
            <w:pPr>
              <w:pStyle w:val="33"/>
              <w:rPr>
                <w:bCs/>
                <w:color w:val="auto"/>
                <w:spacing w:val="6"/>
                <w:highlight w:val="none"/>
              </w:rPr>
            </w:pPr>
            <w:r>
              <w:rPr>
                <w:bCs/>
                <w:color w:val="auto"/>
                <w:spacing w:val="6"/>
                <w:highlight w:val="none"/>
              </w:rPr>
              <w:t>表</w:t>
            </w:r>
            <w:r>
              <w:rPr>
                <w:rFonts w:eastAsia="Times New Roman"/>
                <w:bCs/>
                <w:color w:val="auto"/>
                <w:spacing w:val="6"/>
                <w:highlight w:val="none"/>
              </w:rPr>
              <w:t>3.1</w:t>
            </w:r>
            <w:r>
              <w:rPr>
                <w:rFonts w:hint="eastAsia" w:eastAsia="宋体"/>
                <w:bCs/>
                <w:color w:val="auto"/>
                <w:spacing w:val="6"/>
                <w:highlight w:val="none"/>
              </w:rPr>
              <w:t>.4</w:t>
            </w:r>
            <w:r>
              <w:rPr>
                <w:rFonts w:eastAsia="Times New Roman"/>
                <w:bCs/>
                <w:color w:val="auto"/>
                <w:spacing w:val="6"/>
                <w:highlight w:val="none"/>
              </w:rPr>
              <w:t xml:space="preserve">  </w:t>
            </w:r>
            <w:r>
              <w:rPr>
                <w:bCs/>
                <w:color w:val="auto"/>
                <w:spacing w:val="5"/>
                <w:highlight w:val="none"/>
              </w:rPr>
              <w:t>环境空气质量现状监测结果</w:t>
            </w:r>
            <w:r>
              <w:rPr>
                <w:rFonts w:hint="eastAsia"/>
                <w:bCs/>
                <w:color w:val="auto"/>
                <w:spacing w:val="5"/>
                <w:highlight w:val="none"/>
              </w:rPr>
              <w:t xml:space="preserve">    单位：μg/m</w:t>
            </w:r>
            <w:r>
              <w:rPr>
                <w:rFonts w:hint="eastAsia"/>
                <w:bCs/>
                <w:color w:val="auto"/>
                <w:spacing w:val="5"/>
                <w:highlight w:val="none"/>
                <w:vertAlign w:val="superscript"/>
              </w:rPr>
              <w:t>3</w:t>
            </w:r>
          </w:p>
          <w:tbl>
            <w:tblPr>
              <w:tblStyle w:val="21"/>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245"/>
              <w:gridCol w:w="1089"/>
              <w:gridCol w:w="1091"/>
              <w:gridCol w:w="1105"/>
              <w:gridCol w:w="1105"/>
              <w:gridCol w:w="1044"/>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Align w:val="center"/>
                </w:tcPr>
                <w:p>
                  <w:pPr>
                    <w:pStyle w:val="50"/>
                    <w:rPr>
                      <w:color w:val="auto"/>
                      <w:highlight w:val="none"/>
                    </w:rPr>
                  </w:pPr>
                  <w:r>
                    <w:rPr>
                      <w:rFonts w:hint="eastAsia"/>
                      <w:color w:val="auto"/>
                      <w:highlight w:val="none"/>
                    </w:rPr>
                    <w:t>监测点位</w:t>
                  </w:r>
                </w:p>
              </w:tc>
              <w:tc>
                <w:tcPr>
                  <w:tcW w:w="736" w:type="pct"/>
                  <w:vAlign w:val="center"/>
                </w:tcPr>
                <w:p>
                  <w:pPr>
                    <w:pStyle w:val="50"/>
                    <w:rPr>
                      <w:color w:val="auto"/>
                      <w:highlight w:val="none"/>
                    </w:rPr>
                  </w:pPr>
                  <w:r>
                    <w:rPr>
                      <w:rFonts w:hint="eastAsia"/>
                      <w:color w:val="auto"/>
                      <w:highlight w:val="none"/>
                    </w:rPr>
                    <w:t>日期</w:t>
                  </w:r>
                </w:p>
              </w:tc>
              <w:tc>
                <w:tcPr>
                  <w:tcW w:w="644" w:type="pct"/>
                  <w:vAlign w:val="center"/>
                </w:tcPr>
                <w:p>
                  <w:pPr>
                    <w:pStyle w:val="50"/>
                    <w:rPr>
                      <w:color w:val="auto"/>
                      <w:highlight w:val="none"/>
                    </w:rPr>
                  </w:pPr>
                  <w:r>
                    <w:rPr>
                      <w:rFonts w:hint="eastAsia"/>
                      <w:color w:val="auto"/>
                      <w:highlight w:val="none"/>
                    </w:rPr>
                    <w:t>监测因子</w:t>
                  </w:r>
                </w:p>
              </w:tc>
              <w:tc>
                <w:tcPr>
                  <w:tcW w:w="645" w:type="pct"/>
                  <w:vAlign w:val="center"/>
                </w:tcPr>
                <w:p>
                  <w:pPr>
                    <w:pStyle w:val="50"/>
                    <w:rPr>
                      <w:color w:val="auto"/>
                      <w:highlight w:val="none"/>
                    </w:rPr>
                  </w:pPr>
                  <w:r>
                    <w:rPr>
                      <w:rFonts w:hint="eastAsia"/>
                      <w:color w:val="auto"/>
                      <w:highlight w:val="none"/>
                    </w:rPr>
                    <w:t>检测结果</w:t>
                  </w:r>
                </w:p>
              </w:tc>
              <w:tc>
                <w:tcPr>
                  <w:tcW w:w="653" w:type="pct"/>
                  <w:vAlign w:val="center"/>
                </w:tcPr>
                <w:p>
                  <w:pPr>
                    <w:pStyle w:val="50"/>
                    <w:rPr>
                      <w:color w:val="auto"/>
                      <w:highlight w:val="none"/>
                    </w:rPr>
                  </w:pPr>
                  <w:r>
                    <w:rPr>
                      <w:rFonts w:hint="eastAsia"/>
                      <w:color w:val="auto"/>
                      <w:highlight w:val="none"/>
                    </w:rPr>
                    <w:t>标准限值（mg/m</w:t>
                  </w:r>
                  <w:r>
                    <w:rPr>
                      <w:rFonts w:hint="eastAsia"/>
                      <w:color w:val="auto"/>
                      <w:highlight w:val="none"/>
                      <w:vertAlign w:val="superscript"/>
                    </w:rPr>
                    <w:t>3</w:t>
                  </w:r>
                  <w:r>
                    <w:rPr>
                      <w:rFonts w:hint="eastAsia"/>
                      <w:color w:val="auto"/>
                      <w:highlight w:val="none"/>
                    </w:rPr>
                    <w:t>）</w:t>
                  </w:r>
                </w:p>
              </w:tc>
              <w:tc>
                <w:tcPr>
                  <w:tcW w:w="653" w:type="pct"/>
                  <w:vAlign w:val="center"/>
                </w:tcPr>
                <w:p>
                  <w:pPr>
                    <w:pStyle w:val="50"/>
                    <w:rPr>
                      <w:color w:val="auto"/>
                      <w:highlight w:val="none"/>
                    </w:rPr>
                  </w:pPr>
                  <w:r>
                    <w:rPr>
                      <w:rFonts w:hint="eastAsia"/>
                      <w:color w:val="auto"/>
                      <w:highlight w:val="none"/>
                    </w:rPr>
                    <w:t>最大值占标率（%）</w:t>
                  </w:r>
                </w:p>
              </w:tc>
              <w:tc>
                <w:tcPr>
                  <w:tcW w:w="617" w:type="pct"/>
                  <w:vAlign w:val="center"/>
                </w:tcPr>
                <w:p>
                  <w:pPr>
                    <w:pStyle w:val="50"/>
                    <w:rPr>
                      <w:color w:val="auto"/>
                      <w:highlight w:val="none"/>
                    </w:rPr>
                  </w:pPr>
                  <w:r>
                    <w:rPr>
                      <w:rFonts w:hint="eastAsia"/>
                      <w:color w:val="auto"/>
                      <w:highlight w:val="none"/>
                    </w:rPr>
                    <w:t>最大超标率（%）</w:t>
                  </w:r>
                </w:p>
              </w:tc>
              <w:tc>
                <w:tcPr>
                  <w:tcW w:w="420" w:type="pct"/>
                  <w:vAlign w:val="center"/>
                </w:tcPr>
                <w:p>
                  <w:pPr>
                    <w:pStyle w:val="50"/>
                    <w:rPr>
                      <w:color w:val="auto"/>
                      <w:highlight w:val="none"/>
                    </w:rPr>
                  </w:pPr>
                  <w:r>
                    <w:rPr>
                      <w:rFonts w:hint="eastAsia"/>
                      <w:color w:val="auto"/>
                      <w:highlight w:val="none"/>
                    </w:rPr>
                    <w:t>是否 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627" w:type="pct"/>
                  <w:vMerge w:val="restart"/>
                  <w:vAlign w:val="center"/>
                </w:tcPr>
                <w:p>
                  <w:pPr>
                    <w:pStyle w:val="50"/>
                    <w:rPr>
                      <w:color w:val="auto"/>
                      <w:highlight w:val="none"/>
                    </w:rPr>
                  </w:pPr>
                  <w:r>
                    <w:rPr>
                      <w:rFonts w:hint="eastAsia"/>
                      <w:color w:val="auto"/>
                      <w:highlight w:val="none"/>
                    </w:rPr>
                    <w:t>Q1#</w:t>
                  </w:r>
                </w:p>
              </w:tc>
              <w:tc>
                <w:tcPr>
                  <w:tcW w:w="736" w:type="pct"/>
                  <w:vAlign w:val="center"/>
                </w:tcPr>
                <w:p>
                  <w:pPr>
                    <w:pStyle w:val="50"/>
                    <w:rPr>
                      <w:color w:val="auto"/>
                      <w:highlight w:val="none"/>
                    </w:rPr>
                  </w:pPr>
                  <w:r>
                    <w:rPr>
                      <w:rFonts w:hint="eastAsia"/>
                      <w:color w:val="auto"/>
                      <w:highlight w:val="none"/>
                    </w:rPr>
                    <w:t>2023.6.12</w:t>
                  </w:r>
                </w:p>
              </w:tc>
              <w:tc>
                <w:tcPr>
                  <w:tcW w:w="644" w:type="pct"/>
                  <w:vMerge w:val="restart"/>
                  <w:vAlign w:val="center"/>
                </w:tcPr>
                <w:p>
                  <w:pPr>
                    <w:pStyle w:val="50"/>
                    <w:rPr>
                      <w:color w:val="auto"/>
                      <w:highlight w:val="none"/>
                    </w:rPr>
                  </w:pPr>
                  <w:r>
                    <w:rPr>
                      <w:rFonts w:hint="eastAsia"/>
                      <w:color w:val="auto"/>
                      <w:highlight w:val="none"/>
                    </w:rPr>
                    <w:t>TSP</w:t>
                  </w:r>
                </w:p>
              </w:tc>
              <w:tc>
                <w:tcPr>
                  <w:tcW w:w="645" w:type="pct"/>
                  <w:vAlign w:val="center"/>
                </w:tcPr>
                <w:p>
                  <w:pPr>
                    <w:pStyle w:val="50"/>
                    <w:rPr>
                      <w:color w:val="auto"/>
                      <w:highlight w:val="none"/>
                    </w:rPr>
                  </w:pPr>
                </w:p>
              </w:tc>
              <w:tc>
                <w:tcPr>
                  <w:tcW w:w="653" w:type="pct"/>
                  <w:vMerge w:val="restart"/>
                  <w:vAlign w:val="center"/>
                </w:tcPr>
                <w:p>
                  <w:pPr>
                    <w:pStyle w:val="50"/>
                    <w:rPr>
                      <w:color w:val="auto"/>
                      <w:highlight w:val="none"/>
                    </w:rPr>
                  </w:pPr>
                  <w:r>
                    <w:rPr>
                      <w:rFonts w:hint="eastAsia"/>
                      <w:color w:val="auto"/>
                      <w:highlight w:val="none"/>
                    </w:rPr>
                    <w:t>0.3</w:t>
                  </w:r>
                </w:p>
              </w:tc>
              <w:tc>
                <w:tcPr>
                  <w:tcW w:w="653" w:type="pct"/>
                  <w:vAlign w:val="center"/>
                </w:tcPr>
                <w:p>
                  <w:pPr>
                    <w:pStyle w:val="50"/>
                    <w:rPr>
                      <w:color w:val="auto"/>
                      <w:highlight w:val="none"/>
                    </w:rPr>
                  </w:pPr>
                </w:p>
              </w:tc>
              <w:tc>
                <w:tcPr>
                  <w:tcW w:w="617" w:type="pct"/>
                  <w:vAlign w:val="center"/>
                </w:tcPr>
                <w:p>
                  <w:pPr>
                    <w:pStyle w:val="50"/>
                    <w:rPr>
                      <w:color w:val="auto"/>
                      <w:highlight w:val="none"/>
                    </w:rPr>
                  </w:pPr>
                </w:p>
              </w:tc>
              <w:tc>
                <w:tcPr>
                  <w:tcW w:w="420" w:type="pct"/>
                  <w:vAlign w:val="center"/>
                </w:tcPr>
                <w:p>
                  <w:pPr>
                    <w:pStyle w:val="5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Merge w:val="continue"/>
                  <w:vAlign w:val="center"/>
                </w:tcPr>
                <w:p>
                  <w:pPr>
                    <w:pStyle w:val="50"/>
                    <w:rPr>
                      <w:color w:val="auto"/>
                      <w:highlight w:val="none"/>
                    </w:rPr>
                  </w:pPr>
                </w:p>
              </w:tc>
              <w:tc>
                <w:tcPr>
                  <w:tcW w:w="736" w:type="pct"/>
                  <w:vAlign w:val="center"/>
                </w:tcPr>
                <w:p>
                  <w:pPr>
                    <w:pStyle w:val="50"/>
                    <w:rPr>
                      <w:color w:val="auto"/>
                      <w:highlight w:val="none"/>
                    </w:rPr>
                  </w:pPr>
                  <w:r>
                    <w:rPr>
                      <w:rFonts w:hint="eastAsia"/>
                      <w:color w:val="auto"/>
                      <w:highlight w:val="none"/>
                    </w:rPr>
                    <w:t>2023.6.13</w:t>
                  </w:r>
                </w:p>
              </w:tc>
              <w:tc>
                <w:tcPr>
                  <w:tcW w:w="644" w:type="pct"/>
                  <w:vMerge w:val="continue"/>
                  <w:vAlign w:val="center"/>
                </w:tcPr>
                <w:p>
                  <w:pPr>
                    <w:pStyle w:val="50"/>
                    <w:rPr>
                      <w:color w:val="auto"/>
                      <w:highlight w:val="none"/>
                    </w:rPr>
                  </w:pPr>
                </w:p>
              </w:tc>
              <w:tc>
                <w:tcPr>
                  <w:tcW w:w="645" w:type="pct"/>
                  <w:vAlign w:val="center"/>
                </w:tcPr>
                <w:p>
                  <w:pPr>
                    <w:pStyle w:val="50"/>
                    <w:rPr>
                      <w:color w:val="auto"/>
                      <w:highlight w:val="none"/>
                    </w:rPr>
                  </w:pPr>
                </w:p>
              </w:tc>
              <w:tc>
                <w:tcPr>
                  <w:tcW w:w="653" w:type="pct"/>
                  <w:vMerge w:val="continue"/>
                  <w:vAlign w:val="center"/>
                </w:tcPr>
                <w:p>
                  <w:pPr>
                    <w:pStyle w:val="50"/>
                    <w:rPr>
                      <w:color w:val="auto"/>
                      <w:highlight w:val="none"/>
                    </w:rPr>
                  </w:pPr>
                </w:p>
              </w:tc>
              <w:tc>
                <w:tcPr>
                  <w:tcW w:w="653" w:type="pct"/>
                  <w:vAlign w:val="center"/>
                </w:tcPr>
                <w:p>
                  <w:pPr>
                    <w:pStyle w:val="50"/>
                    <w:rPr>
                      <w:color w:val="auto"/>
                      <w:highlight w:val="none"/>
                    </w:rPr>
                  </w:pPr>
                </w:p>
              </w:tc>
              <w:tc>
                <w:tcPr>
                  <w:tcW w:w="617" w:type="pct"/>
                  <w:vAlign w:val="center"/>
                </w:tcPr>
                <w:p>
                  <w:pPr>
                    <w:pStyle w:val="50"/>
                    <w:rPr>
                      <w:color w:val="auto"/>
                      <w:highlight w:val="none"/>
                    </w:rPr>
                  </w:pPr>
                </w:p>
              </w:tc>
              <w:tc>
                <w:tcPr>
                  <w:tcW w:w="420" w:type="pct"/>
                  <w:vAlign w:val="center"/>
                </w:tcPr>
                <w:p>
                  <w:pPr>
                    <w:pStyle w:val="50"/>
                    <w:rPr>
                      <w:color w:val="auto"/>
                      <w:highlight w:val="none"/>
                    </w:rPr>
                  </w:pPr>
                  <w:r>
                    <w:rPr>
                      <w:rFonts w:hint="eastAsia"/>
                      <w:color w:val="auto"/>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pct"/>
                  <w:vMerge w:val="continue"/>
                  <w:vAlign w:val="center"/>
                </w:tcPr>
                <w:p>
                  <w:pPr>
                    <w:pStyle w:val="50"/>
                    <w:rPr>
                      <w:color w:val="auto"/>
                      <w:highlight w:val="none"/>
                    </w:rPr>
                  </w:pPr>
                </w:p>
              </w:tc>
              <w:tc>
                <w:tcPr>
                  <w:tcW w:w="736" w:type="pct"/>
                  <w:vAlign w:val="center"/>
                </w:tcPr>
                <w:p>
                  <w:pPr>
                    <w:pStyle w:val="50"/>
                    <w:rPr>
                      <w:color w:val="auto"/>
                      <w:highlight w:val="none"/>
                    </w:rPr>
                  </w:pPr>
                  <w:r>
                    <w:rPr>
                      <w:rFonts w:hint="eastAsia"/>
                      <w:color w:val="auto"/>
                      <w:highlight w:val="none"/>
                    </w:rPr>
                    <w:t>2023.6.14</w:t>
                  </w:r>
                </w:p>
              </w:tc>
              <w:tc>
                <w:tcPr>
                  <w:tcW w:w="644" w:type="pct"/>
                  <w:vMerge w:val="continue"/>
                  <w:vAlign w:val="center"/>
                </w:tcPr>
                <w:p>
                  <w:pPr>
                    <w:pStyle w:val="50"/>
                    <w:rPr>
                      <w:color w:val="auto"/>
                      <w:highlight w:val="none"/>
                    </w:rPr>
                  </w:pPr>
                </w:p>
              </w:tc>
              <w:tc>
                <w:tcPr>
                  <w:tcW w:w="645" w:type="pct"/>
                  <w:vAlign w:val="center"/>
                </w:tcPr>
                <w:p>
                  <w:pPr>
                    <w:pStyle w:val="50"/>
                    <w:rPr>
                      <w:color w:val="auto"/>
                      <w:highlight w:val="none"/>
                    </w:rPr>
                  </w:pPr>
                </w:p>
              </w:tc>
              <w:tc>
                <w:tcPr>
                  <w:tcW w:w="653" w:type="pct"/>
                  <w:vMerge w:val="continue"/>
                  <w:vAlign w:val="center"/>
                </w:tcPr>
                <w:p>
                  <w:pPr>
                    <w:pStyle w:val="50"/>
                    <w:rPr>
                      <w:color w:val="auto"/>
                      <w:highlight w:val="none"/>
                    </w:rPr>
                  </w:pPr>
                </w:p>
              </w:tc>
              <w:tc>
                <w:tcPr>
                  <w:tcW w:w="653" w:type="pct"/>
                  <w:vAlign w:val="center"/>
                </w:tcPr>
                <w:p>
                  <w:pPr>
                    <w:pStyle w:val="50"/>
                    <w:rPr>
                      <w:color w:val="auto"/>
                      <w:highlight w:val="none"/>
                    </w:rPr>
                  </w:pPr>
                </w:p>
              </w:tc>
              <w:tc>
                <w:tcPr>
                  <w:tcW w:w="617" w:type="pct"/>
                  <w:vAlign w:val="center"/>
                </w:tcPr>
                <w:p>
                  <w:pPr>
                    <w:pStyle w:val="50"/>
                    <w:rPr>
                      <w:color w:val="auto"/>
                      <w:highlight w:val="none"/>
                    </w:rPr>
                  </w:pPr>
                </w:p>
              </w:tc>
              <w:tc>
                <w:tcPr>
                  <w:tcW w:w="420" w:type="pct"/>
                  <w:vAlign w:val="center"/>
                </w:tcPr>
                <w:p>
                  <w:pPr>
                    <w:pStyle w:val="50"/>
                    <w:rPr>
                      <w:color w:val="auto"/>
                      <w:highlight w:val="none"/>
                    </w:rPr>
                  </w:pPr>
                  <w:r>
                    <w:rPr>
                      <w:rFonts w:hint="eastAsia"/>
                      <w:color w:val="auto"/>
                      <w:highlight w:val="none"/>
                    </w:rPr>
                    <w:t>达标</w:t>
                  </w:r>
                </w:p>
              </w:tc>
            </w:tr>
          </w:tbl>
          <w:p>
            <w:pPr>
              <w:pStyle w:val="33"/>
              <w:rPr>
                <w:color w:val="auto"/>
                <w:highlight w:val="none"/>
              </w:rPr>
            </w:pPr>
          </w:p>
          <w:p>
            <w:pPr>
              <w:pStyle w:val="33"/>
              <w:rPr>
                <w:color w:val="auto"/>
                <w:highlight w:val="none"/>
              </w:rPr>
            </w:pPr>
            <w:r>
              <w:rPr>
                <w:color w:val="auto"/>
                <w:highlight w:val="none"/>
              </w:rPr>
              <w:drawing>
                <wp:inline distT="0" distB="0" distL="114300" distR="114300">
                  <wp:extent cx="5374640" cy="3642995"/>
                  <wp:effectExtent l="0" t="0" r="16510" b="14605"/>
                  <wp:docPr id="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4"/>
                          <pic:cNvPicPr>
                            <a:picLocks noChangeAspect="1"/>
                          </pic:cNvPicPr>
                        </pic:nvPicPr>
                        <pic:blipFill>
                          <a:blip r:embed="rId14"/>
                          <a:stretch>
                            <a:fillRect/>
                          </a:stretch>
                        </pic:blipFill>
                        <pic:spPr>
                          <a:xfrm>
                            <a:off x="0" y="0"/>
                            <a:ext cx="5374640" cy="3642995"/>
                          </a:xfrm>
                          <a:prstGeom prst="rect">
                            <a:avLst/>
                          </a:prstGeom>
                          <a:noFill/>
                          <a:ln>
                            <a:noFill/>
                          </a:ln>
                        </pic:spPr>
                      </pic:pic>
                    </a:graphicData>
                  </a:graphic>
                </wp:inline>
              </w:drawing>
            </w:r>
          </w:p>
          <w:p>
            <w:pPr>
              <w:pStyle w:val="33"/>
              <w:rPr>
                <w:bCs/>
                <w:color w:val="auto"/>
                <w:spacing w:val="6"/>
                <w:highlight w:val="none"/>
              </w:rPr>
            </w:pPr>
            <w:r>
              <w:rPr>
                <w:rFonts w:hint="eastAsia" w:eastAsia="Times New Roman"/>
                <w:bCs/>
                <w:color w:val="auto"/>
                <w:spacing w:val="6"/>
                <w:highlight w:val="none"/>
              </w:rPr>
              <w:t>图3.1-1</w:t>
            </w:r>
            <w:r>
              <w:rPr>
                <w:rFonts w:eastAsia="Times New Roman"/>
                <w:bCs/>
                <w:color w:val="auto"/>
                <w:spacing w:val="6"/>
                <w:highlight w:val="none"/>
              </w:rPr>
              <w:t xml:space="preserve">  </w:t>
            </w:r>
            <w:r>
              <w:rPr>
                <w:bCs/>
                <w:color w:val="auto"/>
                <w:spacing w:val="6"/>
                <w:highlight w:val="none"/>
              </w:rPr>
              <w:t>环境空气现状监测点位</w:t>
            </w:r>
            <w:r>
              <w:rPr>
                <w:rFonts w:hint="eastAsia"/>
                <w:bCs/>
                <w:color w:val="auto"/>
                <w:spacing w:val="6"/>
                <w:highlight w:val="none"/>
              </w:rPr>
              <w:t>图</w:t>
            </w:r>
          </w:p>
          <w:p>
            <w:pPr>
              <w:pStyle w:val="29"/>
              <w:rPr>
                <w:color w:val="auto"/>
                <w:highlight w:val="none"/>
              </w:rPr>
            </w:pPr>
            <w:r>
              <w:rPr>
                <w:rFonts w:hint="eastAsia"/>
                <w:color w:val="auto"/>
                <w:highlight w:val="none"/>
              </w:rPr>
              <w:t>3.1.2 地表水环境现状调查与评价</w:t>
            </w:r>
          </w:p>
          <w:p>
            <w:pPr>
              <w:pStyle w:val="31"/>
              <w:ind w:firstLine="480"/>
              <w:rPr>
                <w:rStyle w:val="56"/>
                <w:color w:val="auto"/>
                <w:highlight w:val="none"/>
              </w:rPr>
            </w:pPr>
            <w:r>
              <w:rPr>
                <w:rStyle w:val="56"/>
                <w:rFonts w:hint="eastAsia"/>
                <w:color w:val="auto"/>
                <w:highlight w:val="none"/>
              </w:rPr>
              <w:t>本项目新增的洗车废水、洗手池废水、地面清洗废水经沉淀及过滤后循环使用；</w:t>
            </w:r>
            <w:r>
              <w:rPr>
                <w:rFonts w:hint="eastAsia"/>
                <w:color w:val="auto"/>
                <w:spacing w:val="-3"/>
                <w:highlight w:val="none"/>
              </w:rPr>
              <w:t>生活污水经市政污水管网</w:t>
            </w:r>
            <w:r>
              <w:rPr>
                <w:rFonts w:hint="eastAsia"/>
                <w:color w:val="auto"/>
                <w:spacing w:val="-8"/>
                <w:highlight w:val="none"/>
              </w:rPr>
              <w:t>纳入漳湾临港工业区临时一体化污水处理厂处理</w:t>
            </w:r>
            <w:r>
              <w:rPr>
                <w:rStyle w:val="56"/>
                <w:rFonts w:hint="eastAsia"/>
                <w:color w:val="auto"/>
                <w:highlight w:val="none"/>
              </w:rPr>
              <w:t>。</w:t>
            </w:r>
          </w:p>
          <w:p>
            <w:pPr>
              <w:pStyle w:val="31"/>
              <w:ind w:firstLine="480"/>
              <w:rPr>
                <w:rStyle w:val="56"/>
                <w:color w:val="auto"/>
                <w:highlight w:val="none"/>
              </w:rPr>
            </w:pPr>
            <w:r>
              <w:rPr>
                <w:rStyle w:val="56"/>
                <w:rFonts w:hint="eastAsia"/>
                <w:color w:val="auto"/>
                <w:highlight w:val="none"/>
              </w:rPr>
              <w:t>根据宁德市生态环境局公布的《宁德市环境质量概要（二〇二四年度）》，2024年宁德市近岸海域水质状况为一般。一、二类水质比例为85.6%，同比上升6.5个百分点；三类水质比例为5.5%，同比下降3.8个百分点；四类水质比例为3.9%，同比下降0.6个百分点；劣四类水质比例为5.0%，同比下降2.1个百分点。四类及劣四类水质的点位主要集中在三沙湾和沙埕湾海域，主要超标因子为活性磷酸盐、无机氮。</w:t>
            </w:r>
          </w:p>
          <w:p>
            <w:pPr>
              <w:pStyle w:val="29"/>
              <w:rPr>
                <w:color w:val="auto"/>
                <w:highlight w:val="none"/>
              </w:rPr>
            </w:pPr>
            <w:r>
              <w:rPr>
                <w:rFonts w:hint="eastAsia"/>
                <w:color w:val="auto"/>
                <w:highlight w:val="none"/>
              </w:rPr>
              <w:t>3.1.3 声环境现状调查与评价</w:t>
            </w:r>
          </w:p>
          <w:p>
            <w:pPr>
              <w:pStyle w:val="32"/>
              <w:ind w:firstLine="480"/>
              <w:rPr>
                <w:color w:val="auto"/>
                <w:highlight w:val="none"/>
              </w:rPr>
            </w:pPr>
            <w:r>
              <w:rPr>
                <w:rFonts w:hint="eastAsia"/>
                <w:color w:val="auto"/>
                <w:highlight w:val="none"/>
              </w:rPr>
              <w:t>1.</w:t>
            </w:r>
            <w:r>
              <w:rPr>
                <w:color w:val="auto"/>
                <w:highlight w:val="none"/>
              </w:rPr>
              <w:t xml:space="preserve">环境功能区划及环境质量标准 </w:t>
            </w:r>
          </w:p>
          <w:p>
            <w:pPr>
              <w:pStyle w:val="32"/>
              <w:ind w:firstLine="480"/>
              <w:rPr>
                <w:color w:val="auto"/>
                <w:highlight w:val="none"/>
              </w:rPr>
            </w:pPr>
            <w:r>
              <w:rPr>
                <w:color w:val="auto"/>
                <w:highlight w:val="none"/>
              </w:rPr>
              <w:t>项目所在区域环境噪声执行《声环境质量标准》（GB3096-2008）中的3类标准，详见表</w:t>
            </w:r>
            <w:r>
              <w:rPr>
                <w:rFonts w:hint="eastAsia"/>
                <w:color w:val="auto"/>
                <w:highlight w:val="none"/>
              </w:rPr>
              <w:t>3.1.5。</w:t>
            </w:r>
          </w:p>
          <w:p>
            <w:pPr>
              <w:pStyle w:val="36"/>
              <w:rPr>
                <w:color w:val="auto"/>
                <w:highlight w:val="none"/>
              </w:rPr>
            </w:pPr>
            <w:r>
              <w:rPr>
                <w:color w:val="auto"/>
                <w:highlight w:val="none"/>
              </w:rPr>
              <w:t>表</w:t>
            </w:r>
            <w:r>
              <w:rPr>
                <w:rFonts w:hint="eastAsia"/>
                <w:color w:val="auto"/>
                <w:highlight w:val="none"/>
              </w:rPr>
              <w:t>3.1.5</w:t>
            </w:r>
            <w:r>
              <w:rPr>
                <w:color w:val="auto"/>
                <w:highlight w:val="none"/>
              </w:rPr>
              <w:t xml:space="preserve">  </w:t>
            </w:r>
            <w:r>
              <w:rPr>
                <w:rFonts w:hint="eastAsia"/>
                <w:color w:val="auto"/>
                <w:highlight w:val="none"/>
              </w:rPr>
              <w:t>《声环境质量标准》（GB3096-2008）    单位：dB（A）</w:t>
            </w:r>
          </w:p>
          <w:tbl>
            <w:tblPr>
              <w:tblStyle w:val="2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1"/>
              <w:gridCol w:w="2822"/>
              <w:gridCol w:w="2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21" w:type="dxa"/>
                </w:tcPr>
                <w:p>
                  <w:pPr>
                    <w:pStyle w:val="50"/>
                    <w:rPr>
                      <w:color w:val="auto"/>
                      <w:highlight w:val="none"/>
                    </w:rPr>
                  </w:pPr>
                  <w:r>
                    <w:rPr>
                      <w:rFonts w:hint="eastAsia"/>
                      <w:color w:val="auto"/>
                      <w:highlight w:val="none"/>
                    </w:rPr>
                    <w:t>声环境功能区类别</w:t>
                  </w:r>
                </w:p>
              </w:tc>
              <w:tc>
                <w:tcPr>
                  <w:tcW w:w="2822" w:type="dxa"/>
                </w:tcPr>
                <w:p>
                  <w:pPr>
                    <w:pStyle w:val="50"/>
                    <w:rPr>
                      <w:color w:val="auto"/>
                      <w:highlight w:val="none"/>
                    </w:rPr>
                  </w:pPr>
                  <w:r>
                    <w:rPr>
                      <w:rFonts w:hint="eastAsia"/>
                      <w:color w:val="auto"/>
                      <w:highlight w:val="none"/>
                    </w:rPr>
                    <w:t>昼间</w:t>
                  </w:r>
                </w:p>
              </w:tc>
              <w:tc>
                <w:tcPr>
                  <w:tcW w:w="2822" w:type="dxa"/>
                </w:tcPr>
                <w:p>
                  <w:pPr>
                    <w:pStyle w:val="50"/>
                    <w:rPr>
                      <w:color w:val="auto"/>
                      <w:highlight w:val="none"/>
                    </w:rPr>
                  </w:pPr>
                  <w:r>
                    <w:rPr>
                      <w:rFonts w:hint="eastAsia"/>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1" w:type="dxa"/>
                </w:tcPr>
                <w:p>
                  <w:pPr>
                    <w:pStyle w:val="50"/>
                    <w:rPr>
                      <w:color w:val="auto"/>
                      <w:highlight w:val="none"/>
                    </w:rPr>
                  </w:pPr>
                  <w:r>
                    <w:rPr>
                      <w:rFonts w:hint="eastAsia"/>
                      <w:color w:val="auto"/>
                      <w:highlight w:val="none"/>
                    </w:rPr>
                    <w:t>3类</w:t>
                  </w:r>
                </w:p>
              </w:tc>
              <w:tc>
                <w:tcPr>
                  <w:tcW w:w="2822" w:type="dxa"/>
                </w:tcPr>
                <w:p>
                  <w:pPr>
                    <w:pStyle w:val="50"/>
                    <w:rPr>
                      <w:color w:val="auto"/>
                      <w:highlight w:val="none"/>
                    </w:rPr>
                  </w:pPr>
                  <w:r>
                    <w:rPr>
                      <w:rFonts w:hint="eastAsia"/>
                      <w:color w:val="auto"/>
                      <w:highlight w:val="none"/>
                    </w:rPr>
                    <w:t>65</w:t>
                  </w:r>
                </w:p>
              </w:tc>
              <w:tc>
                <w:tcPr>
                  <w:tcW w:w="2822" w:type="dxa"/>
                </w:tcPr>
                <w:p>
                  <w:pPr>
                    <w:pStyle w:val="50"/>
                    <w:rPr>
                      <w:color w:val="auto"/>
                      <w:highlight w:val="none"/>
                    </w:rPr>
                  </w:pPr>
                  <w:r>
                    <w:rPr>
                      <w:rFonts w:hint="eastAsia"/>
                      <w:color w:val="auto"/>
                      <w:highlight w:val="none"/>
                    </w:rPr>
                    <w:t>55</w:t>
                  </w:r>
                </w:p>
              </w:tc>
            </w:tr>
          </w:tbl>
          <w:p>
            <w:pPr>
              <w:pStyle w:val="32"/>
              <w:ind w:firstLine="480"/>
              <w:rPr>
                <w:color w:val="auto"/>
                <w:highlight w:val="none"/>
              </w:rPr>
            </w:pPr>
            <w:r>
              <w:rPr>
                <w:rFonts w:hint="eastAsia"/>
                <w:color w:val="auto"/>
                <w:highlight w:val="none"/>
              </w:rPr>
              <w:t>2.声环境质量现状</w:t>
            </w:r>
          </w:p>
          <w:p>
            <w:pPr>
              <w:pStyle w:val="32"/>
              <w:ind w:firstLine="480"/>
              <w:rPr>
                <w:color w:val="auto"/>
                <w:highlight w:val="none"/>
              </w:rPr>
            </w:pPr>
            <w:r>
              <w:rPr>
                <w:color w:val="auto"/>
                <w:highlight w:val="none"/>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pPr>
              <w:pStyle w:val="32"/>
              <w:ind w:firstLine="480"/>
              <w:rPr>
                <w:color w:val="auto"/>
                <w:highlight w:val="none"/>
              </w:rPr>
            </w:pPr>
            <w:r>
              <w:rPr>
                <w:color w:val="auto"/>
                <w:highlight w:val="none"/>
              </w:rPr>
              <w:t>根据现场踏</w:t>
            </w:r>
            <w:r>
              <w:rPr>
                <w:rFonts w:hint="eastAsia"/>
                <w:color w:val="auto"/>
                <w:highlight w:val="none"/>
              </w:rPr>
              <w:t>查</w:t>
            </w:r>
            <w:r>
              <w:rPr>
                <w:color w:val="auto"/>
                <w:highlight w:val="none"/>
              </w:rPr>
              <w:t>可知，</w:t>
            </w:r>
            <w:r>
              <w:rPr>
                <w:rFonts w:hint="eastAsia"/>
                <w:color w:val="auto"/>
                <w:highlight w:val="none"/>
              </w:rPr>
              <w:t>详见附图2，</w:t>
            </w:r>
            <w:r>
              <w:rPr>
                <w:color w:val="auto"/>
                <w:highlight w:val="none"/>
              </w:rPr>
              <w:t>项目周边50米范围内无声环境保护目标，可不进行声环境质量现状的监测</w:t>
            </w:r>
            <w:r>
              <w:rPr>
                <w:rFonts w:hint="eastAsia"/>
                <w:color w:val="auto"/>
                <w:highlight w:val="none"/>
              </w:rPr>
              <w:t>。</w:t>
            </w:r>
          </w:p>
          <w:p>
            <w:pPr>
              <w:pStyle w:val="29"/>
              <w:rPr>
                <w:color w:val="auto"/>
                <w:highlight w:val="none"/>
              </w:rPr>
            </w:pPr>
            <w:r>
              <w:rPr>
                <w:rFonts w:hint="eastAsia"/>
                <w:color w:val="auto"/>
                <w:highlight w:val="none"/>
              </w:rPr>
              <w:t>3.1.4 生态环境现状调查与评价</w:t>
            </w:r>
          </w:p>
          <w:p>
            <w:pPr>
              <w:pStyle w:val="42"/>
              <w:keepNext w:val="0"/>
              <w:keepLines w:val="0"/>
              <w:adjustRightInd w:val="0"/>
              <w:snapToGrid w:val="0"/>
              <w:ind w:right="0" w:firstLine="480" w:firstLineChars="200"/>
              <w:rPr>
                <w:b w:val="0"/>
                <w:snapToGrid w:val="0"/>
                <w:color w:val="auto"/>
                <w:kern w:val="0"/>
                <w:szCs w:val="21"/>
                <w:highlight w:val="none"/>
              </w:rPr>
            </w:pPr>
            <w:r>
              <w:rPr>
                <w:rFonts w:hint="eastAsia"/>
                <w:b w:val="0"/>
                <w:snapToGrid w:val="0"/>
                <w:color w:val="auto"/>
                <w:kern w:val="0"/>
                <w:szCs w:val="21"/>
                <w:highlight w:val="none"/>
              </w:rPr>
              <w:t>根据《建设项目环境影响报告表编制技术指南(污染影响类)》(试行)，“产业园区外建设项目新增用地且用地范围内含有生态环境保护目标时，应进行生态现状调查”。</w:t>
            </w:r>
          </w:p>
          <w:p>
            <w:pPr>
              <w:pStyle w:val="42"/>
              <w:keepNext w:val="0"/>
              <w:keepLines w:val="0"/>
              <w:adjustRightInd w:val="0"/>
              <w:snapToGrid w:val="0"/>
              <w:ind w:right="0" w:firstLine="480" w:firstLineChars="200"/>
              <w:rPr>
                <w:b w:val="0"/>
                <w:snapToGrid w:val="0"/>
                <w:color w:val="auto"/>
                <w:kern w:val="0"/>
                <w:szCs w:val="21"/>
                <w:highlight w:val="none"/>
              </w:rPr>
            </w:pPr>
            <w:r>
              <w:rPr>
                <w:rFonts w:hint="eastAsia"/>
                <w:b w:val="0"/>
                <w:snapToGrid w:val="0"/>
                <w:color w:val="auto"/>
                <w:kern w:val="0"/>
                <w:szCs w:val="21"/>
                <w:highlight w:val="none"/>
              </w:rPr>
              <w:t>本项目主体工程租用保税物流中心</w:t>
            </w:r>
            <w:r>
              <w:rPr>
                <w:rFonts w:hint="eastAsia"/>
                <w:b w:val="0"/>
                <w:snapToGrid w:val="0"/>
                <w:color w:val="auto"/>
                <w:kern w:val="0"/>
                <w:szCs w:val="21"/>
                <w:highlight w:val="none"/>
                <w:lang w:val="en-US" w:eastAsia="zh-CN"/>
              </w:rPr>
              <w:t>内用地</w:t>
            </w:r>
            <w:r>
              <w:rPr>
                <w:rFonts w:hint="eastAsia"/>
                <w:b w:val="0"/>
                <w:snapToGrid w:val="0"/>
                <w:color w:val="auto"/>
                <w:kern w:val="0"/>
                <w:szCs w:val="21"/>
                <w:highlight w:val="none"/>
              </w:rPr>
              <w:t>进行</w:t>
            </w:r>
            <w:r>
              <w:rPr>
                <w:rFonts w:hint="eastAsia"/>
                <w:b w:val="0"/>
                <w:snapToGrid w:val="0"/>
                <w:color w:val="auto"/>
                <w:kern w:val="0"/>
                <w:szCs w:val="21"/>
                <w:highlight w:val="none"/>
                <w:lang w:val="en-US" w:eastAsia="zh-CN"/>
              </w:rPr>
              <w:t>建设</w:t>
            </w:r>
            <w:r>
              <w:rPr>
                <w:rFonts w:hint="eastAsia"/>
                <w:b w:val="0"/>
                <w:snapToGrid w:val="0"/>
                <w:color w:val="auto"/>
                <w:kern w:val="0"/>
                <w:szCs w:val="21"/>
                <w:highlight w:val="none"/>
              </w:rPr>
              <w:t>，且用地范围内不存在生态环境保护目标，故本项目无需进行生态现状调查。</w:t>
            </w:r>
          </w:p>
          <w:p>
            <w:pPr>
              <w:pStyle w:val="29"/>
              <w:rPr>
                <w:color w:val="auto"/>
                <w:highlight w:val="none"/>
              </w:rPr>
            </w:pPr>
            <w:r>
              <w:rPr>
                <w:rFonts w:hint="eastAsia"/>
                <w:color w:val="auto"/>
                <w:highlight w:val="none"/>
              </w:rPr>
              <w:t>3.1.5 电磁辐射现状调查与评价</w:t>
            </w:r>
          </w:p>
          <w:p>
            <w:pPr>
              <w:pStyle w:val="29"/>
              <w:ind w:firstLine="480" w:firstLineChars="200"/>
              <w:jc w:val="both"/>
              <w:rPr>
                <w:rFonts w:eastAsia="宋体"/>
                <w:b w:val="0"/>
                <w:snapToGrid w:val="0"/>
                <w:color w:val="auto"/>
                <w:kern w:val="0"/>
                <w:sz w:val="24"/>
                <w:szCs w:val="21"/>
                <w:highlight w:val="none"/>
              </w:rPr>
            </w:pPr>
            <w:r>
              <w:rPr>
                <w:rFonts w:hint="eastAsia" w:eastAsia="宋体"/>
                <w:b w:val="0"/>
                <w:snapToGrid w:val="0"/>
                <w:color w:val="auto"/>
                <w:kern w:val="0"/>
                <w:sz w:val="24"/>
                <w:szCs w:val="21"/>
                <w:highlight w:val="none"/>
              </w:rPr>
              <w:t>项目属于有色金属矿采选业中单独的矿石破碎、集运，不属于广播电台、差转台、电视塔台、卫星地球上行站、雷达等电磁辐射项目，此次评价不开展电磁辐射现状监测与评价。</w:t>
            </w:r>
          </w:p>
          <w:p>
            <w:pPr>
              <w:pStyle w:val="29"/>
              <w:jc w:val="both"/>
              <w:rPr>
                <w:color w:val="auto"/>
                <w:highlight w:val="none"/>
              </w:rPr>
            </w:pPr>
            <w:r>
              <w:rPr>
                <w:rFonts w:hint="eastAsia"/>
                <w:color w:val="auto"/>
                <w:highlight w:val="none"/>
              </w:rPr>
              <w:t>3.1.6 地下水、土壤现状调查与评价</w:t>
            </w:r>
          </w:p>
          <w:p>
            <w:pPr>
              <w:pStyle w:val="29"/>
              <w:ind w:firstLine="480" w:firstLineChars="200"/>
              <w:jc w:val="both"/>
              <w:rPr>
                <w:rFonts w:eastAsia="宋体"/>
                <w:b w:val="0"/>
                <w:snapToGrid w:val="0"/>
                <w:color w:val="auto"/>
                <w:kern w:val="0"/>
                <w:sz w:val="24"/>
                <w:szCs w:val="21"/>
                <w:highlight w:val="none"/>
              </w:rPr>
            </w:pPr>
            <w:r>
              <w:rPr>
                <w:rFonts w:hint="eastAsia" w:eastAsia="宋体"/>
                <w:b w:val="0"/>
                <w:snapToGrid w:val="0"/>
                <w:color w:val="auto"/>
                <w:kern w:val="0"/>
                <w:sz w:val="24"/>
                <w:szCs w:val="21"/>
                <w:highlight w:val="none"/>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pPr>
              <w:pStyle w:val="29"/>
              <w:ind w:firstLine="480" w:firstLineChars="200"/>
              <w:jc w:val="both"/>
              <w:rPr>
                <w:rFonts w:eastAsia="宋体"/>
                <w:b w:val="0"/>
                <w:snapToGrid w:val="0"/>
                <w:color w:val="auto"/>
                <w:kern w:val="0"/>
                <w:sz w:val="24"/>
                <w:szCs w:val="21"/>
                <w:highlight w:val="none"/>
              </w:rPr>
            </w:pPr>
            <w:r>
              <w:rPr>
                <w:rFonts w:hint="eastAsia" w:eastAsia="宋体"/>
                <w:b w:val="0"/>
                <w:snapToGrid w:val="0"/>
                <w:color w:val="auto"/>
                <w:kern w:val="0"/>
                <w:sz w:val="24"/>
                <w:szCs w:val="21"/>
                <w:highlight w:val="none"/>
              </w:rPr>
              <w:t>本项目位于保税物流中心（B型）内，根据现场勘查，周边以工业企业为主；项目周边地下水、土壤环境相对不敏感，采取有效的防渗措施后，项目对地下水、土壤环境影响很小，基本不存在土壤、地下水环境污染途径，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0" w:hRule="atLeast"/>
          <w:jc w:val="center"/>
        </w:trPr>
        <w:tc>
          <w:tcPr>
            <w:tcW w:w="437" w:type="pct"/>
            <w:vAlign w:val="center"/>
          </w:tcPr>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环境</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保护</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highlight w:val="none"/>
              </w:rPr>
              <w:t>目标</w:t>
            </w:r>
          </w:p>
        </w:tc>
        <w:tc>
          <w:tcPr>
            <w:tcW w:w="4562"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3.2环境保护目标</w:t>
            </w:r>
          </w:p>
          <w:p>
            <w:pPr>
              <w:pStyle w:val="51"/>
              <w:spacing w:line="360" w:lineRule="auto"/>
              <w:ind w:firstLine="480" w:firstLineChars="200"/>
              <w:jc w:val="both"/>
              <w:rPr>
                <w:rFonts w:eastAsia="宋体"/>
                <w:bCs/>
                <w:snapToGrid w:val="0"/>
                <w:color w:val="auto"/>
                <w:kern w:val="0"/>
                <w:sz w:val="24"/>
                <w:szCs w:val="21"/>
                <w:highlight w:val="none"/>
                <w:lang w:val="en-US" w:bidi="ar-SA"/>
              </w:rPr>
            </w:pPr>
            <w:r>
              <w:rPr>
                <w:rFonts w:hint="eastAsia" w:eastAsia="宋体"/>
                <w:bCs/>
                <w:snapToGrid w:val="0"/>
                <w:color w:val="auto"/>
                <w:kern w:val="0"/>
                <w:sz w:val="24"/>
                <w:szCs w:val="21"/>
                <w:highlight w:val="none"/>
                <w:lang w:val="en-US" w:bidi="ar-SA"/>
              </w:rPr>
              <w:t>项目位于蕉城区宁德保税物流中心（B型）内，结合周边环境现状分析，本项目的环境保护目标见表3.2.1及附图2。</w:t>
            </w:r>
          </w:p>
          <w:p>
            <w:pPr>
              <w:pStyle w:val="33"/>
              <w:rPr>
                <w:color w:val="auto"/>
                <w:highlight w:val="none"/>
              </w:rPr>
            </w:pPr>
            <w:r>
              <w:rPr>
                <w:rFonts w:hint="eastAsia"/>
                <w:color w:val="auto"/>
                <w:highlight w:val="none"/>
              </w:rPr>
              <w:t>表3.2.1  项目环境保护目标</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195"/>
              <w:gridCol w:w="697"/>
              <w:gridCol w:w="1120"/>
              <w:gridCol w:w="731"/>
              <w:gridCol w:w="4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394" w:type="pct"/>
                  <w:vAlign w:val="center"/>
                </w:tcPr>
                <w:p>
                  <w:pPr>
                    <w:pStyle w:val="52"/>
                    <w:rPr>
                      <w:color w:val="auto"/>
                      <w:highlight w:val="none"/>
                    </w:rPr>
                  </w:pPr>
                  <w:r>
                    <w:rPr>
                      <w:rFonts w:hint="eastAsia"/>
                      <w:color w:val="auto"/>
                      <w:highlight w:val="none"/>
                    </w:rPr>
                    <w:t>环境要素</w:t>
                  </w:r>
                </w:p>
              </w:tc>
              <w:tc>
                <w:tcPr>
                  <w:tcW w:w="706" w:type="pct"/>
                  <w:vAlign w:val="center"/>
                </w:tcPr>
                <w:p>
                  <w:pPr>
                    <w:pStyle w:val="52"/>
                    <w:rPr>
                      <w:color w:val="auto"/>
                      <w:highlight w:val="none"/>
                    </w:rPr>
                  </w:pPr>
                  <w:r>
                    <w:rPr>
                      <w:color w:val="auto"/>
                      <w:highlight w:val="none"/>
                    </w:rPr>
                    <w:t>环境保护</w:t>
                  </w:r>
                </w:p>
                <w:p>
                  <w:pPr>
                    <w:pStyle w:val="52"/>
                    <w:rPr>
                      <w:color w:val="auto"/>
                      <w:highlight w:val="none"/>
                    </w:rPr>
                  </w:pPr>
                  <w:r>
                    <w:rPr>
                      <w:color w:val="auto"/>
                      <w:highlight w:val="none"/>
                    </w:rPr>
                    <w:t>目标</w:t>
                  </w:r>
                </w:p>
              </w:tc>
              <w:tc>
                <w:tcPr>
                  <w:tcW w:w="412" w:type="pct"/>
                  <w:vAlign w:val="center"/>
                </w:tcPr>
                <w:p>
                  <w:pPr>
                    <w:pStyle w:val="52"/>
                    <w:rPr>
                      <w:color w:val="auto"/>
                      <w:highlight w:val="none"/>
                    </w:rPr>
                  </w:pPr>
                  <w:r>
                    <w:rPr>
                      <w:color w:val="auto"/>
                      <w:highlight w:val="none"/>
                    </w:rPr>
                    <w:t>相对方位</w:t>
                  </w:r>
                </w:p>
              </w:tc>
              <w:tc>
                <w:tcPr>
                  <w:tcW w:w="662" w:type="pct"/>
                  <w:vAlign w:val="center"/>
                </w:tcPr>
                <w:p>
                  <w:pPr>
                    <w:pStyle w:val="52"/>
                    <w:rPr>
                      <w:color w:val="auto"/>
                      <w:highlight w:val="none"/>
                    </w:rPr>
                  </w:pPr>
                  <w:r>
                    <w:rPr>
                      <w:color w:val="auto"/>
                      <w:highlight w:val="none"/>
                    </w:rPr>
                    <w:t>与项目厂界距离（m）</w:t>
                  </w:r>
                </w:p>
              </w:tc>
              <w:tc>
                <w:tcPr>
                  <w:tcW w:w="432" w:type="pct"/>
                  <w:vAlign w:val="center"/>
                </w:tcPr>
                <w:p>
                  <w:pPr>
                    <w:pStyle w:val="52"/>
                    <w:rPr>
                      <w:color w:val="auto"/>
                      <w:highlight w:val="none"/>
                    </w:rPr>
                  </w:pPr>
                  <w:r>
                    <w:rPr>
                      <w:color w:val="auto"/>
                      <w:highlight w:val="none"/>
                    </w:rPr>
                    <w:t>保护目标规模</w:t>
                  </w:r>
                </w:p>
              </w:tc>
              <w:tc>
                <w:tcPr>
                  <w:tcW w:w="2391" w:type="pct"/>
                  <w:vAlign w:val="center"/>
                </w:tcPr>
                <w:p>
                  <w:pPr>
                    <w:pStyle w:val="52"/>
                    <w:rPr>
                      <w:color w:val="auto"/>
                      <w:highlight w:val="none"/>
                    </w:rPr>
                  </w:pPr>
                  <w:r>
                    <w:rPr>
                      <w:rFonts w:hint="eastAsia"/>
                      <w:color w:val="auto"/>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4" w:type="pct"/>
                  <w:vAlign w:val="center"/>
                </w:tcPr>
                <w:p>
                  <w:pPr>
                    <w:pStyle w:val="52"/>
                    <w:rPr>
                      <w:color w:val="auto"/>
                      <w:highlight w:val="none"/>
                    </w:rPr>
                  </w:pPr>
                  <w:r>
                    <w:rPr>
                      <w:color w:val="auto"/>
                      <w:highlight w:val="none"/>
                    </w:rPr>
                    <w:t>大气</w:t>
                  </w:r>
                </w:p>
                <w:p>
                  <w:pPr>
                    <w:pStyle w:val="52"/>
                    <w:rPr>
                      <w:color w:val="auto"/>
                      <w:highlight w:val="none"/>
                    </w:rPr>
                  </w:pPr>
                  <w:r>
                    <w:rPr>
                      <w:color w:val="auto"/>
                      <w:highlight w:val="none"/>
                    </w:rPr>
                    <w:t>环境</w:t>
                  </w:r>
                </w:p>
              </w:tc>
              <w:tc>
                <w:tcPr>
                  <w:tcW w:w="706" w:type="pct"/>
                  <w:vAlign w:val="center"/>
                </w:tcPr>
                <w:p>
                  <w:pPr>
                    <w:pStyle w:val="52"/>
                    <w:rPr>
                      <w:color w:val="auto"/>
                      <w:highlight w:val="none"/>
                    </w:rPr>
                  </w:pPr>
                  <w:r>
                    <w:rPr>
                      <w:rFonts w:hint="eastAsia"/>
                      <w:color w:val="auto"/>
                      <w:highlight w:val="none"/>
                    </w:rPr>
                    <w:t>/</w:t>
                  </w:r>
                </w:p>
              </w:tc>
              <w:tc>
                <w:tcPr>
                  <w:tcW w:w="412" w:type="pct"/>
                  <w:vAlign w:val="center"/>
                </w:tcPr>
                <w:p>
                  <w:pPr>
                    <w:pStyle w:val="52"/>
                    <w:rPr>
                      <w:color w:val="auto"/>
                      <w:highlight w:val="none"/>
                    </w:rPr>
                  </w:pPr>
                  <w:r>
                    <w:rPr>
                      <w:rFonts w:hint="eastAsia"/>
                      <w:color w:val="auto"/>
                      <w:highlight w:val="none"/>
                    </w:rPr>
                    <w:t>/</w:t>
                  </w:r>
                </w:p>
              </w:tc>
              <w:tc>
                <w:tcPr>
                  <w:tcW w:w="662" w:type="pct"/>
                  <w:vAlign w:val="center"/>
                </w:tcPr>
                <w:p>
                  <w:pPr>
                    <w:pStyle w:val="52"/>
                    <w:rPr>
                      <w:color w:val="auto"/>
                      <w:highlight w:val="none"/>
                    </w:rPr>
                  </w:pPr>
                  <w:r>
                    <w:rPr>
                      <w:rFonts w:hint="eastAsia"/>
                      <w:color w:val="auto"/>
                      <w:highlight w:val="none"/>
                    </w:rPr>
                    <w:t>/</w:t>
                  </w:r>
                </w:p>
              </w:tc>
              <w:tc>
                <w:tcPr>
                  <w:tcW w:w="432" w:type="pct"/>
                  <w:vAlign w:val="center"/>
                </w:tcPr>
                <w:p>
                  <w:pPr>
                    <w:pStyle w:val="52"/>
                    <w:rPr>
                      <w:color w:val="auto"/>
                      <w:highlight w:val="none"/>
                    </w:rPr>
                  </w:pPr>
                  <w:r>
                    <w:rPr>
                      <w:rFonts w:hint="eastAsia"/>
                      <w:color w:val="auto"/>
                      <w:highlight w:val="none"/>
                    </w:rPr>
                    <w:t>/</w:t>
                  </w:r>
                </w:p>
              </w:tc>
              <w:tc>
                <w:tcPr>
                  <w:tcW w:w="2391" w:type="pct"/>
                  <w:vAlign w:val="center"/>
                </w:tcPr>
                <w:p>
                  <w:pPr>
                    <w:pStyle w:val="52"/>
                    <w:rPr>
                      <w:color w:val="auto"/>
                      <w:highlight w:val="none"/>
                    </w:rPr>
                  </w:pPr>
                  <w:r>
                    <w:rPr>
                      <w:color w:val="auto"/>
                      <w:highlight w:val="none"/>
                    </w:rPr>
                    <w:t>厂界外500m范围内无自然保护区、风景名胜区、居住区、文化区和农村地区中人群较集中的区域</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394" w:type="pct"/>
                  <w:vMerge w:val="restart"/>
                  <w:vAlign w:val="center"/>
                </w:tcPr>
                <w:p>
                  <w:pPr>
                    <w:pStyle w:val="52"/>
                    <w:rPr>
                      <w:color w:val="auto"/>
                      <w:highlight w:val="none"/>
                    </w:rPr>
                  </w:pPr>
                  <w:r>
                    <w:rPr>
                      <w:rFonts w:hint="eastAsia"/>
                      <w:color w:val="auto"/>
                      <w:highlight w:val="none"/>
                      <w:lang w:val="en-US" w:eastAsia="zh-CN"/>
                    </w:rPr>
                    <w:t>海水</w:t>
                  </w:r>
                </w:p>
              </w:tc>
              <w:tc>
                <w:tcPr>
                  <w:tcW w:w="706" w:type="pct"/>
                  <w:vMerge w:val="restart"/>
                  <w:vAlign w:val="center"/>
                </w:tcPr>
                <w:p>
                  <w:pPr>
                    <w:pStyle w:val="52"/>
                    <w:rPr>
                      <w:color w:val="auto"/>
                      <w:highlight w:val="none"/>
                    </w:rPr>
                  </w:pPr>
                  <w:r>
                    <w:rPr>
                      <w:color w:val="auto"/>
                      <w:highlight w:val="none"/>
                    </w:rPr>
                    <w:t>FJ020-B-Ⅱ</w:t>
                  </w:r>
                </w:p>
                <w:p>
                  <w:pPr>
                    <w:pStyle w:val="52"/>
                    <w:rPr>
                      <w:color w:val="auto"/>
                      <w:highlight w:val="none"/>
                    </w:rPr>
                  </w:pPr>
                  <w:r>
                    <w:rPr>
                      <w:color w:val="auto"/>
                      <w:highlight w:val="none"/>
                    </w:rPr>
                    <w:t>三都澳二类区</w:t>
                  </w:r>
                </w:p>
              </w:tc>
              <w:tc>
                <w:tcPr>
                  <w:tcW w:w="412" w:type="pct"/>
                  <w:vMerge w:val="restart"/>
                  <w:vAlign w:val="center"/>
                </w:tcPr>
                <w:p>
                  <w:pPr>
                    <w:pStyle w:val="52"/>
                    <w:rPr>
                      <w:color w:val="auto"/>
                      <w:highlight w:val="none"/>
                    </w:rPr>
                  </w:pPr>
                  <w:r>
                    <w:rPr>
                      <w:rFonts w:hint="eastAsia"/>
                      <w:color w:val="auto"/>
                      <w:highlight w:val="none"/>
                    </w:rPr>
                    <w:t>东北侧</w:t>
                  </w:r>
                </w:p>
              </w:tc>
              <w:tc>
                <w:tcPr>
                  <w:tcW w:w="662" w:type="pct"/>
                  <w:vMerge w:val="restart"/>
                  <w:vAlign w:val="center"/>
                </w:tcPr>
                <w:p>
                  <w:pPr>
                    <w:pStyle w:val="52"/>
                    <w:rPr>
                      <w:rFonts w:hint="default" w:eastAsia="宋体"/>
                      <w:color w:val="auto"/>
                      <w:highlight w:val="none"/>
                      <w:lang w:val="en-US" w:eastAsia="zh-CN"/>
                    </w:rPr>
                  </w:pPr>
                  <w:r>
                    <w:rPr>
                      <w:rFonts w:hint="eastAsia"/>
                      <w:color w:val="auto"/>
                      <w:highlight w:val="none"/>
                    </w:rPr>
                    <w:t>东北侧</w:t>
                  </w:r>
                  <w:r>
                    <w:rPr>
                      <w:rFonts w:hint="eastAsia"/>
                      <w:color w:val="auto"/>
                      <w:highlight w:val="none"/>
                      <w:lang w:val="en-US" w:eastAsia="zh-CN"/>
                    </w:rPr>
                    <w:t>厂界外紧邻</w:t>
                  </w:r>
                </w:p>
              </w:tc>
              <w:tc>
                <w:tcPr>
                  <w:tcW w:w="432" w:type="pct"/>
                  <w:vMerge w:val="restart"/>
                  <w:vAlign w:val="center"/>
                </w:tcPr>
                <w:p>
                  <w:pPr>
                    <w:pStyle w:val="52"/>
                    <w:rPr>
                      <w:color w:val="auto"/>
                      <w:highlight w:val="none"/>
                    </w:rPr>
                  </w:pPr>
                  <w:r>
                    <w:rPr>
                      <w:rFonts w:hint="eastAsia"/>
                      <w:color w:val="auto"/>
                      <w:highlight w:val="none"/>
                      <w:lang w:val="en-US" w:eastAsia="zh-CN"/>
                    </w:rPr>
                    <w:t>二类海水水质标准</w:t>
                  </w:r>
                </w:p>
              </w:tc>
              <w:tc>
                <w:tcPr>
                  <w:tcW w:w="2391" w:type="pct"/>
                  <w:vMerge w:val="restart"/>
                  <w:vAlign w:val="center"/>
                </w:tcPr>
                <w:p>
                  <w:pPr>
                    <w:pStyle w:val="52"/>
                    <w:rPr>
                      <w:color w:val="auto"/>
                      <w:highlight w:val="none"/>
                    </w:rPr>
                  </w:pPr>
                  <w:r>
                    <w:rPr>
                      <w:color w:val="auto"/>
                      <w:highlight w:val="none"/>
                    </w:rPr>
                    <w:t>本项目生产废水回用不外排</w:t>
                  </w:r>
                  <w:r>
                    <w:rPr>
                      <w:rFonts w:hint="eastAsia"/>
                      <w:color w:val="auto"/>
                      <w:highlight w:val="none"/>
                    </w:rPr>
                    <w:t>，生活污水经市政污水管网纳入漳湾临港工业区临时一体化污水处理厂处理。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94" w:type="pct"/>
                  <w:vMerge w:val="continue"/>
                  <w:vAlign w:val="center"/>
                </w:tcPr>
                <w:p>
                  <w:pPr>
                    <w:pStyle w:val="52"/>
                    <w:rPr>
                      <w:color w:val="auto"/>
                      <w:highlight w:val="none"/>
                    </w:rPr>
                  </w:pPr>
                </w:p>
              </w:tc>
              <w:tc>
                <w:tcPr>
                  <w:tcW w:w="706" w:type="pct"/>
                  <w:vMerge w:val="continue"/>
                  <w:vAlign w:val="center"/>
                </w:tcPr>
                <w:p>
                  <w:pPr>
                    <w:pStyle w:val="52"/>
                    <w:rPr>
                      <w:color w:val="auto"/>
                      <w:highlight w:val="none"/>
                    </w:rPr>
                  </w:pPr>
                </w:p>
              </w:tc>
              <w:tc>
                <w:tcPr>
                  <w:tcW w:w="412" w:type="pct"/>
                  <w:vMerge w:val="continue"/>
                  <w:vAlign w:val="center"/>
                </w:tcPr>
                <w:p>
                  <w:pPr>
                    <w:pStyle w:val="52"/>
                    <w:rPr>
                      <w:color w:val="auto"/>
                      <w:highlight w:val="none"/>
                    </w:rPr>
                  </w:pPr>
                </w:p>
              </w:tc>
              <w:tc>
                <w:tcPr>
                  <w:tcW w:w="662" w:type="pct"/>
                  <w:vMerge w:val="continue"/>
                  <w:vAlign w:val="center"/>
                </w:tcPr>
                <w:p>
                  <w:pPr>
                    <w:pStyle w:val="52"/>
                    <w:rPr>
                      <w:color w:val="auto"/>
                      <w:highlight w:val="none"/>
                    </w:rPr>
                  </w:pPr>
                </w:p>
              </w:tc>
              <w:tc>
                <w:tcPr>
                  <w:tcW w:w="432" w:type="pct"/>
                  <w:vMerge w:val="continue"/>
                  <w:vAlign w:val="center"/>
                </w:tcPr>
                <w:p>
                  <w:pPr>
                    <w:pStyle w:val="52"/>
                    <w:rPr>
                      <w:color w:val="auto"/>
                      <w:highlight w:val="none"/>
                    </w:rPr>
                  </w:pPr>
                </w:p>
              </w:tc>
              <w:tc>
                <w:tcPr>
                  <w:tcW w:w="2391" w:type="pct"/>
                  <w:vMerge w:val="continue"/>
                  <w:vAlign w:val="center"/>
                </w:tcPr>
                <w:p>
                  <w:pPr>
                    <w:pStyle w:val="52"/>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94" w:type="pct"/>
                  <w:vAlign w:val="center"/>
                </w:tcPr>
                <w:p>
                  <w:pPr>
                    <w:pStyle w:val="52"/>
                    <w:rPr>
                      <w:color w:val="auto"/>
                      <w:highlight w:val="none"/>
                    </w:rPr>
                  </w:pPr>
                  <w:r>
                    <w:rPr>
                      <w:rFonts w:hint="eastAsia"/>
                      <w:color w:val="auto"/>
                      <w:highlight w:val="none"/>
                    </w:rPr>
                    <w:t>声环境</w:t>
                  </w:r>
                </w:p>
              </w:tc>
              <w:tc>
                <w:tcPr>
                  <w:tcW w:w="706" w:type="pct"/>
                  <w:vAlign w:val="center"/>
                </w:tcPr>
                <w:p>
                  <w:pPr>
                    <w:pStyle w:val="52"/>
                    <w:rPr>
                      <w:color w:val="auto"/>
                      <w:highlight w:val="none"/>
                    </w:rPr>
                  </w:pPr>
                  <w:r>
                    <w:rPr>
                      <w:color w:val="auto"/>
                      <w:highlight w:val="none"/>
                    </w:rPr>
                    <w:t>/</w:t>
                  </w:r>
                </w:p>
              </w:tc>
              <w:tc>
                <w:tcPr>
                  <w:tcW w:w="412" w:type="pct"/>
                  <w:vAlign w:val="center"/>
                </w:tcPr>
                <w:p>
                  <w:pPr>
                    <w:pStyle w:val="52"/>
                    <w:rPr>
                      <w:color w:val="auto"/>
                      <w:highlight w:val="none"/>
                    </w:rPr>
                  </w:pPr>
                  <w:r>
                    <w:rPr>
                      <w:color w:val="auto"/>
                      <w:highlight w:val="none"/>
                    </w:rPr>
                    <w:t>/</w:t>
                  </w:r>
                </w:p>
              </w:tc>
              <w:tc>
                <w:tcPr>
                  <w:tcW w:w="662" w:type="pct"/>
                  <w:vAlign w:val="center"/>
                </w:tcPr>
                <w:p>
                  <w:pPr>
                    <w:pStyle w:val="52"/>
                    <w:rPr>
                      <w:color w:val="auto"/>
                      <w:highlight w:val="none"/>
                    </w:rPr>
                  </w:pPr>
                  <w:r>
                    <w:rPr>
                      <w:color w:val="auto"/>
                      <w:highlight w:val="none"/>
                    </w:rPr>
                    <w:t>/</w:t>
                  </w:r>
                </w:p>
              </w:tc>
              <w:tc>
                <w:tcPr>
                  <w:tcW w:w="432" w:type="pct"/>
                  <w:vAlign w:val="center"/>
                </w:tcPr>
                <w:p>
                  <w:pPr>
                    <w:pStyle w:val="52"/>
                    <w:rPr>
                      <w:color w:val="auto"/>
                      <w:highlight w:val="none"/>
                    </w:rPr>
                  </w:pPr>
                  <w:r>
                    <w:rPr>
                      <w:color w:val="auto"/>
                      <w:highlight w:val="none"/>
                    </w:rPr>
                    <w:t>/</w:t>
                  </w:r>
                </w:p>
              </w:tc>
              <w:tc>
                <w:tcPr>
                  <w:tcW w:w="2391" w:type="pct"/>
                  <w:vAlign w:val="center"/>
                </w:tcPr>
                <w:p>
                  <w:pPr>
                    <w:pStyle w:val="52"/>
                    <w:rPr>
                      <w:color w:val="auto"/>
                      <w:highlight w:val="none"/>
                    </w:rPr>
                  </w:pPr>
                  <w:r>
                    <w:rPr>
                      <w:color w:val="auto"/>
                      <w:highlight w:val="none"/>
                    </w:rPr>
                    <w:t>项目厂界外50m范围内无声环境保护目标</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94" w:type="pct"/>
                  <w:vAlign w:val="center"/>
                </w:tcPr>
                <w:p>
                  <w:pPr>
                    <w:pStyle w:val="52"/>
                    <w:rPr>
                      <w:color w:val="auto"/>
                      <w:highlight w:val="none"/>
                    </w:rPr>
                  </w:pPr>
                  <w:r>
                    <w:rPr>
                      <w:rFonts w:hint="eastAsia"/>
                      <w:color w:val="auto"/>
                      <w:highlight w:val="none"/>
                    </w:rPr>
                    <w:t>地下水环境</w:t>
                  </w:r>
                </w:p>
              </w:tc>
              <w:tc>
                <w:tcPr>
                  <w:tcW w:w="706" w:type="pct"/>
                  <w:vAlign w:val="center"/>
                </w:tcPr>
                <w:p>
                  <w:pPr>
                    <w:pStyle w:val="52"/>
                    <w:rPr>
                      <w:color w:val="auto"/>
                      <w:highlight w:val="none"/>
                    </w:rPr>
                  </w:pPr>
                  <w:r>
                    <w:rPr>
                      <w:rFonts w:hint="eastAsia"/>
                      <w:color w:val="auto"/>
                      <w:highlight w:val="none"/>
                    </w:rPr>
                    <w:t>/</w:t>
                  </w:r>
                </w:p>
              </w:tc>
              <w:tc>
                <w:tcPr>
                  <w:tcW w:w="412" w:type="pct"/>
                  <w:vAlign w:val="center"/>
                </w:tcPr>
                <w:p>
                  <w:pPr>
                    <w:pStyle w:val="52"/>
                    <w:rPr>
                      <w:color w:val="auto"/>
                      <w:highlight w:val="none"/>
                    </w:rPr>
                  </w:pPr>
                  <w:r>
                    <w:rPr>
                      <w:rFonts w:hint="eastAsia"/>
                      <w:color w:val="auto"/>
                      <w:highlight w:val="none"/>
                    </w:rPr>
                    <w:t>/</w:t>
                  </w:r>
                </w:p>
              </w:tc>
              <w:tc>
                <w:tcPr>
                  <w:tcW w:w="662" w:type="pct"/>
                  <w:vAlign w:val="center"/>
                </w:tcPr>
                <w:p>
                  <w:pPr>
                    <w:pStyle w:val="52"/>
                    <w:rPr>
                      <w:color w:val="auto"/>
                      <w:highlight w:val="none"/>
                    </w:rPr>
                  </w:pPr>
                  <w:r>
                    <w:rPr>
                      <w:rFonts w:hint="eastAsia"/>
                      <w:color w:val="auto"/>
                      <w:highlight w:val="none"/>
                    </w:rPr>
                    <w:t>/</w:t>
                  </w:r>
                </w:p>
              </w:tc>
              <w:tc>
                <w:tcPr>
                  <w:tcW w:w="432" w:type="pct"/>
                  <w:vAlign w:val="center"/>
                </w:tcPr>
                <w:p>
                  <w:pPr>
                    <w:pStyle w:val="52"/>
                    <w:rPr>
                      <w:color w:val="auto"/>
                      <w:highlight w:val="none"/>
                    </w:rPr>
                  </w:pPr>
                  <w:r>
                    <w:rPr>
                      <w:rFonts w:hint="eastAsia"/>
                      <w:color w:val="auto"/>
                      <w:highlight w:val="none"/>
                    </w:rPr>
                    <w:t>/</w:t>
                  </w:r>
                </w:p>
              </w:tc>
              <w:tc>
                <w:tcPr>
                  <w:tcW w:w="2391" w:type="pct"/>
                  <w:vAlign w:val="center"/>
                </w:tcPr>
                <w:p>
                  <w:pPr>
                    <w:pStyle w:val="52"/>
                    <w:rPr>
                      <w:color w:val="auto"/>
                      <w:highlight w:val="none"/>
                    </w:rPr>
                  </w:pPr>
                  <w:r>
                    <w:rPr>
                      <w:rFonts w:hint="eastAsia"/>
                      <w:color w:val="auto"/>
                      <w:highlight w:val="none"/>
                    </w:rPr>
                    <w:t>厂界外500米范围内无地下水集中式饮用水水源和热水、矿泉水、泉水等特殊地下水资源。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94" w:type="pct"/>
                  <w:vAlign w:val="center"/>
                </w:tcPr>
                <w:p>
                  <w:pPr>
                    <w:pStyle w:val="52"/>
                    <w:rPr>
                      <w:color w:val="auto"/>
                      <w:highlight w:val="none"/>
                    </w:rPr>
                  </w:pPr>
                  <w:r>
                    <w:rPr>
                      <w:rFonts w:hint="eastAsia"/>
                      <w:color w:val="auto"/>
                      <w:highlight w:val="none"/>
                    </w:rPr>
                    <w:t>生态环境</w:t>
                  </w:r>
                </w:p>
              </w:tc>
              <w:tc>
                <w:tcPr>
                  <w:tcW w:w="706" w:type="pct"/>
                  <w:vAlign w:val="center"/>
                </w:tcPr>
                <w:p>
                  <w:pPr>
                    <w:pStyle w:val="52"/>
                    <w:rPr>
                      <w:color w:val="auto"/>
                      <w:highlight w:val="none"/>
                    </w:rPr>
                  </w:pPr>
                  <w:r>
                    <w:rPr>
                      <w:rFonts w:hint="eastAsia"/>
                      <w:color w:val="auto"/>
                      <w:highlight w:val="none"/>
                    </w:rPr>
                    <w:t>/</w:t>
                  </w:r>
                </w:p>
              </w:tc>
              <w:tc>
                <w:tcPr>
                  <w:tcW w:w="412" w:type="pct"/>
                  <w:vAlign w:val="center"/>
                </w:tcPr>
                <w:p>
                  <w:pPr>
                    <w:pStyle w:val="52"/>
                    <w:rPr>
                      <w:color w:val="auto"/>
                      <w:highlight w:val="none"/>
                    </w:rPr>
                  </w:pPr>
                  <w:r>
                    <w:rPr>
                      <w:rFonts w:hint="eastAsia"/>
                      <w:color w:val="auto"/>
                      <w:highlight w:val="none"/>
                    </w:rPr>
                    <w:t>/</w:t>
                  </w:r>
                </w:p>
              </w:tc>
              <w:tc>
                <w:tcPr>
                  <w:tcW w:w="662" w:type="pct"/>
                  <w:vAlign w:val="center"/>
                </w:tcPr>
                <w:p>
                  <w:pPr>
                    <w:pStyle w:val="52"/>
                    <w:rPr>
                      <w:color w:val="auto"/>
                      <w:highlight w:val="none"/>
                    </w:rPr>
                  </w:pPr>
                  <w:r>
                    <w:rPr>
                      <w:rFonts w:hint="eastAsia"/>
                      <w:color w:val="auto"/>
                      <w:highlight w:val="none"/>
                    </w:rPr>
                    <w:t>/</w:t>
                  </w:r>
                </w:p>
              </w:tc>
              <w:tc>
                <w:tcPr>
                  <w:tcW w:w="432" w:type="pct"/>
                  <w:vAlign w:val="center"/>
                </w:tcPr>
                <w:p>
                  <w:pPr>
                    <w:pStyle w:val="52"/>
                    <w:rPr>
                      <w:color w:val="auto"/>
                      <w:highlight w:val="none"/>
                    </w:rPr>
                  </w:pPr>
                  <w:r>
                    <w:rPr>
                      <w:rFonts w:hint="eastAsia"/>
                      <w:color w:val="auto"/>
                      <w:highlight w:val="none"/>
                    </w:rPr>
                    <w:t>/</w:t>
                  </w:r>
                </w:p>
              </w:tc>
              <w:tc>
                <w:tcPr>
                  <w:tcW w:w="2391" w:type="pct"/>
                  <w:vAlign w:val="center"/>
                </w:tcPr>
                <w:p>
                  <w:pPr>
                    <w:pStyle w:val="52"/>
                    <w:rPr>
                      <w:color w:val="auto"/>
                      <w:highlight w:val="none"/>
                    </w:rPr>
                  </w:pPr>
                  <w:r>
                    <w:rPr>
                      <w:rFonts w:hint="eastAsia"/>
                      <w:color w:val="auto"/>
                      <w:highlight w:val="none"/>
                    </w:rPr>
                    <w:t>项目位于宁德（漳湾）临港工业区物流产业园内，且本项目租用保税物流中心</w:t>
                  </w:r>
                  <w:r>
                    <w:rPr>
                      <w:rFonts w:hint="eastAsia"/>
                      <w:color w:val="auto"/>
                      <w:highlight w:val="none"/>
                      <w:lang w:val="en-US" w:eastAsia="zh-CN"/>
                    </w:rPr>
                    <w:t>用地</w:t>
                  </w:r>
                  <w:r>
                    <w:rPr>
                      <w:rFonts w:hint="eastAsia"/>
                      <w:color w:val="auto"/>
                      <w:highlight w:val="none"/>
                    </w:rPr>
                    <w:t>进行</w:t>
                  </w:r>
                  <w:r>
                    <w:rPr>
                      <w:rFonts w:hint="eastAsia"/>
                      <w:color w:val="auto"/>
                      <w:highlight w:val="none"/>
                      <w:lang w:val="en-US" w:eastAsia="zh-CN"/>
                    </w:rPr>
                    <w:t>建设</w:t>
                  </w:r>
                  <w:r>
                    <w:rPr>
                      <w:rFonts w:hint="eastAsia"/>
                      <w:color w:val="auto"/>
                      <w:highlight w:val="none"/>
                    </w:rPr>
                    <w:t>。</w:t>
                  </w:r>
                </w:p>
              </w:tc>
            </w:tr>
          </w:tbl>
          <w:p>
            <w:pPr>
              <w:pStyle w:val="29"/>
              <w:ind w:firstLine="480" w:firstLineChars="200"/>
              <w:jc w:val="both"/>
              <w:rPr>
                <w:rFonts w:eastAsia="宋体"/>
                <w:b w:val="0"/>
                <w:snapToGrid w:val="0"/>
                <w:color w:val="auto"/>
                <w:kern w:val="0"/>
                <w:sz w:val="24"/>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4" w:hRule="atLeast"/>
          <w:jc w:val="center"/>
        </w:trPr>
        <w:tc>
          <w:tcPr>
            <w:tcW w:w="437" w:type="pct"/>
            <w:vAlign w:val="center"/>
          </w:tcPr>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污染</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物排</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放控</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制标</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highlight w:val="none"/>
              </w:rPr>
              <w:t>准</w:t>
            </w:r>
          </w:p>
        </w:tc>
        <w:tc>
          <w:tcPr>
            <w:tcW w:w="4562"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3.3污染物排放控制标准</w:t>
            </w:r>
          </w:p>
          <w:p>
            <w:pPr>
              <w:pStyle w:val="29"/>
              <w:rPr>
                <w:color w:val="auto"/>
                <w:highlight w:val="none"/>
              </w:rPr>
            </w:pPr>
            <w:r>
              <w:rPr>
                <w:color w:val="auto"/>
                <w:highlight w:val="none"/>
              </w:rPr>
              <w:t>3.3.</w:t>
            </w:r>
            <w:r>
              <w:rPr>
                <w:rFonts w:hint="eastAsia"/>
                <w:color w:val="auto"/>
                <w:highlight w:val="none"/>
              </w:rPr>
              <w:t>1 水污染物排放标准</w:t>
            </w:r>
          </w:p>
          <w:p>
            <w:pPr>
              <w:pStyle w:val="32"/>
              <w:ind w:firstLine="480"/>
              <w:rPr>
                <w:color w:val="auto"/>
                <w:highlight w:val="none"/>
              </w:rPr>
            </w:pPr>
            <w:r>
              <w:rPr>
                <w:rFonts w:hint="eastAsia"/>
                <w:color w:val="auto"/>
                <w:highlight w:val="none"/>
              </w:rPr>
              <w:t>（1）施工期</w:t>
            </w:r>
          </w:p>
          <w:p>
            <w:pPr>
              <w:pStyle w:val="32"/>
              <w:ind w:firstLine="480"/>
              <w:rPr>
                <w:rFonts w:hint="eastAsia" w:hAnsi="宋体"/>
                <w:color w:val="auto"/>
                <w:highlight w:val="none"/>
              </w:rPr>
            </w:pPr>
            <w:r>
              <w:rPr>
                <w:rFonts w:hint="eastAsia" w:hAnsi="宋体"/>
                <w:color w:val="auto"/>
                <w:highlight w:val="none"/>
              </w:rPr>
              <w:t>本项目施工期施工人员产生的生活污水达到</w:t>
            </w:r>
            <w:r>
              <w:rPr>
                <w:rFonts w:hint="eastAsia"/>
                <w:color w:val="auto"/>
                <w:spacing w:val="-8"/>
                <w:highlight w:val="none"/>
              </w:rPr>
              <w:t>漳湾临港工业区临时一体化污水处理厂</w:t>
            </w:r>
            <w:r>
              <w:rPr>
                <w:rFonts w:hint="eastAsia" w:hAnsi="宋体"/>
                <w:color w:val="auto"/>
                <w:highlight w:val="none"/>
              </w:rPr>
              <w:t>进水水质要求后排入</w:t>
            </w:r>
            <w:r>
              <w:rPr>
                <w:rFonts w:hint="eastAsia"/>
                <w:color w:val="auto"/>
                <w:spacing w:val="-8"/>
                <w:highlight w:val="none"/>
              </w:rPr>
              <w:t>漳湾临港工业区临时一体化污水处理厂</w:t>
            </w:r>
            <w:r>
              <w:rPr>
                <w:rFonts w:hint="eastAsia" w:hAnsi="宋体"/>
                <w:color w:val="auto"/>
                <w:highlight w:val="none"/>
              </w:rPr>
              <w:t>处理。</w:t>
            </w:r>
          </w:p>
          <w:p>
            <w:pPr>
              <w:pStyle w:val="32"/>
              <w:ind w:firstLine="480"/>
              <w:rPr>
                <w:rFonts w:hint="eastAsia" w:hAnsi="宋体"/>
                <w:color w:val="auto"/>
                <w:highlight w:val="none"/>
              </w:rPr>
            </w:pPr>
            <w:r>
              <w:rPr>
                <w:rFonts w:hint="eastAsia" w:hAnsi="宋体"/>
                <w:color w:val="auto"/>
                <w:highlight w:val="none"/>
              </w:rPr>
              <w:t>（2）运营期</w:t>
            </w:r>
          </w:p>
          <w:p>
            <w:pPr>
              <w:pStyle w:val="32"/>
              <w:ind w:firstLine="480"/>
              <w:rPr>
                <w:rFonts w:hint="eastAsia" w:hAnsi="宋体"/>
                <w:color w:val="auto"/>
                <w:highlight w:val="none"/>
              </w:rPr>
            </w:pPr>
            <w:r>
              <w:rPr>
                <w:rFonts w:hint="eastAsia" w:hAnsi="宋体"/>
                <w:color w:val="auto"/>
                <w:highlight w:val="none"/>
              </w:rPr>
              <w:t>本项目外排废水为员工生活污水。生活污水经化粪池处理后达到漳湾临港工业区临时一体化污水处理厂进水水质要求后，经污水管网排入漳湾临港工业区临时一体化污水处理厂，漳湾临港工业区临时一体化污水处理厂出水排放执行《城镇污水处理厂污染物排放标准》（GB18918-2002）中的一级A标准，最后排入三都澳。具体详见表3.3.1：</w:t>
            </w:r>
          </w:p>
          <w:p>
            <w:pPr>
              <w:pStyle w:val="36"/>
              <w:rPr>
                <w:color w:val="auto"/>
                <w:highlight w:val="none"/>
              </w:rPr>
            </w:pPr>
            <w:r>
              <w:rPr>
                <w:rFonts w:hint="eastAsia"/>
                <w:color w:val="auto"/>
                <w:highlight w:val="none"/>
              </w:rPr>
              <w:t xml:space="preserve">表 </w:t>
            </w:r>
            <w:r>
              <w:rPr>
                <w:rFonts w:hint="eastAsia"/>
                <w:color w:val="auto"/>
                <w:highlight w:val="none"/>
              </w:rPr>
              <w:fldChar w:fldCharType="begin"/>
            </w:r>
            <w:r>
              <w:rPr>
                <w:rFonts w:hint="eastAsia"/>
                <w:color w:val="auto"/>
                <w:highlight w:val="none"/>
              </w:rPr>
              <w:instrText xml:space="preserve"> STYLEREF 2 \s </w:instrText>
            </w:r>
            <w:r>
              <w:rPr>
                <w:rFonts w:hint="eastAsia"/>
                <w:color w:val="auto"/>
                <w:highlight w:val="none"/>
              </w:rPr>
              <w:fldChar w:fldCharType="separate"/>
            </w:r>
            <w:r>
              <w:rPr>
                <w:rFonts w:hint="eastAsia"/>
                <w:color w:val="auto"/>
                <w:highlight w:val="none"/>
              </w:rPr>
              <w:t>3.3</w:t>
            </w:r>
            <w:r>
              <w:rPr>
                <w:rFonts w:hint="eastAsia"/>
                <w:color w:val="auto"/>
                <w:highlight w:val="none"/>
              </w:rPr>
              <w:fldChar w:fldCharType="end"/>
            </w:r>
            <w:r>
              <w:rPr>
                <w:rFonts w:hint="eastAsia"/>
                <w:color w:val="auto"/>
                <w:highlight w:val="none"/>
              </w:rPr>
              <w:t>.1  项目污水排放执行标准</w:t>
            </w:r>
          </w:p>
          <w:tbl>
            <w:tblPr>
              <w:tblStyle w:val="38"/>
              <w:tblW w:w="4836" w:type="pct"/>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651"/>
              <w:gridCol w:w="2438"/>
              <w:gridCol w:w="2549"/>
              <w:gridCol w:w="2540"/>
            </w:tblGrid>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398" w:type="pct"/>
                  <w:tcBorders>
                    <w:right w:val="single" w:color="000000" w:sz="4" w:space="0"/>
                  </w:tcBorders>
                  <w:vAlign w:val="center"/>
                </w:tcPr>
                <w:p>
                  <w:pPr>
                    <w:pStyle w:val="50"/>
                    <w:rPr>
                      <w:color w:val="auto"/>
                      <w:highlight w:val="none"/>
                    </w:rPr>
                  </w:pPr>
                  <w:r>
                    <w:rPr>
                      <w:color w:val="auto"/>
                      <w:highlight w:val="none"/>
                    </w:rPr>
                    <w:t>序号</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污染物名称</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污水处理厂设计进水水质</w:t>
                  </w:r>
                </w:p>
              </w:tc>
              <w:tc>
                <w:tcPr>
                  <w:tcW w:w="1552" w:type="pct"/>
                  <w:tcBorders>
                    <w:left w:val="single" w:color="000000" w:sz="4" w:space="0"/>
                  </w:tcBorders>
                  <w:vAlign w:val="center"/>
                </w:tcPr>
                <w:p>
                  <w:pPr>
                    <w:pStyle w:val="50"/>
                    <w:rPr>
                      <w:color w:val="auto"/>
                      <w:highlight w:val="none"/>
                    </w:rPr>
                  </w:pPr>
                  <w:r>
                    <w:rPr>
                      <w:color w:val="auto"/>
                      <w:highlight w:val="none"/>
                    </w:rPr>
                    <w:t>GB18918-2002</w:t>
                  </w:r>
                  <w:r>
                    <w:rPr>
                      <w:rFonts w:hint="eastAsia"/>
                      <w:color w:val="auto"/>
                      <w:highlight w:val="none"/>
                    </w:rPr>
                    <w:t>一级A</w:t>
                  </w:r>
                  <w:r>
                    <w:rPr>
                      <w:color w:val="auto"/>
                      <w:highlight w:val="none"/>
                    </w:rPr>
                    <w:t>标准</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29" w:hRule="atLeast"/>
                <w:jc w:val="center"/>
              </w:trPr>
              <w:tc>
                <w:tcPr>
                  <w:tcW w:w="398" w:type="pct"/>
                  <w:tcBorders>
                    <w:right w:val="single" w:color="000000" w:sz="4" w:space="0"/>
                  </w:tcBorders>
                  <w:vAlign w:val="center"/>
                </w:tcPr>
                <w:p>
                  <w:pPr>
                    <w:pStyle w:val="50"/>
                    <w:rPr>
                      <w:color w:val="auto"/>
                      <w:highlight w:val="none"/>
                    </w:rPr>
                  </w:pPr>
                  <w:r>
                    <w:rPr>
                      <w:color w:val="auto"/>
                      <w:highlight w:val="none"/>
                    </w:rPr>
                    <w:t>1</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pH（无量纲）</w:t>
                  </w:r>
                </w:p>
              </w:tc>
              <w:tc>
                <w:tcPr>
                  <w:tcW w:w="1558" w:type="pct"/>
                  <w:tcBorders>
                    <w:left w:val="single" w:color="000000" w:sz="4" w:space="0"/>
                    <w:right w:val="single" w:color="000000" w:sz="4" w:space="0"/>
                  </w:tcBorders>
                  <w:vAlign w:val="center"/>
                </w:tcPr>
                <w:p>
                  <w:pPr>
                    <w:pStyle w:val="50"/>
                    <w:rPr>
                      <w:color w:val="auto"/>
                      <w:highlight w:val="none"/>
                    </w:rPr>
                  </w:pPr>
                  <w:r>
                    <w:rPr>
                      <w:color w:val="auto"/>
                      <w:highlight w:val="none"/>
                    </w:rPr>
                    <w:t>6~9</w:t>
                  </w:r>
                </w:p>
              </w:tc>
              <w:tc>
                <w:tcPr>
                  <w:tcW w:w="1552" w:type="pct"/>
                  <w:tcBorders>
                    <w:left w:val="single" w:color="000000" w:sz="4" w:space="0"/>
                  </w:tcBorders>
                  <w:vAlign w:val="center"/>
                </w:tcPr>
                <w:p>
                  <w:pPr>
                    <w:pStyle w:val="50"/>
                    <w:rPr>
                      <w:color w:val="auto"/>
                      <w:highlight w:val="none"/>
                    </w:rPr>
                  </w:pPr>
                  <w:r>
                    <w:rPr>
                      <w:color w:val="auto"/>
                      <w:highlight w:val="none"/>
                    </w:rPr>
                    <w:t>6~9</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6" w:hRule="atLeast"/>
                <w:jc w:val="center"/>
              </w:trPr>
              <w:tc>
                <w:tcPr>
                  <w:tcW w:w="398" w:type="pct"/>
                  <w:tcBorders>
                    <w:right w:val="single" w:color="000000" w:sz="4" w:space="0"/>
                  </w:tcBorders>
                  <w:vAlign w:val="center"/>
                </w:tcPr>
                <w:p>
                  <w:pPr>
                    <w:pStyle w:val="50"/>
                    <w:rPr>
                      <w:color w:val="auto"/>
                      <w:highlight w:val="none"/>
                    </w:rPr>
                  </w:pPr>
                  <w:r>
                    <w:rPr>
                      <w:color w:val="auto"/>
                      <w:highlight w:val="none"/>
                    </w:rPr>
                    <w:t>2</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悬浮物（SS）</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400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10</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0" w:hRule="atLeast"/>
                <w:jc w:val="center"/>
              </w:trPr>
              <w:tc>
                <w:tcPr>
                  <w:tcW w:w="398" w:type="pct"/>
                  <w:tcBorders>
                    <w:right w:val="single" w:color="000000" w:sz="4" w:space="0"/>
                  </w:tcBorders>
                  <w:vAlign w:val="center"/>
                </w:tcPr>
                <w:p>
                  <w:pPr>
                    <w:pStyle w:val="50"/>
                    <w:rPr>
                      <w:color w:val="auto"/>
                      <w:highlight w:val="none"/>
                    </w:rPr>
                  </w:pPr>
                  <w:r>
                    <w:rPr>
                      <w:color w:val="auto"/>
                      <w:highlight w:val="none"/>
                    </w:rPr>
                    <w:t>3</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五日生化需氧量（BOD</w:t>
                  </w:r>
                  <w:r>
                    <w:rPr>
                      <w:color w:val="auto"/>
                      <w:highlight w:val="none"/>
                      <w:vertAlign w:val="subscript"/>
                    </w:rPr>
                    <w:t>5</w:t>
                  </w:r>
                  <w:r>
                    <w:rPr>
                      <w:color w:val="auto"/>
                      <w:highlight w:val="none"/>
                    </w:rPr>
                    <w:t>）</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180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10</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94" w:hRule="atLeast"/>
                <w:jc w:val="center"/>
              </w:trPr>
              <w:tc>
                <w:tcPr>
                  <w:tcW w:w="398" w:type="pct"/>
                  <w:tcBorders>
                    <w:right w:val="single" w:color="000000" w:sz="4" w:space="0"/>
                  </w:tcBorders>
                  <w:vAlign w:val="center"/>
                </w:tcPr>
                <w:p>
                  <w:pPr>
                    <w:pStyle w:val="50"/>
                    <w:rPr>
                      <w:color w:val="auto"/>
                      <w:highlight w:val="none"/>
                    </w:rPr>
                  </w:pPr>
                  <w:r>
                    <w:rPr>
                      <w:color w:val="auto"/>
                      <w:highlight w:val="none"/>
                    </w:rPr>
                    <w:t>4</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化学需氧量（COD）</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500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50</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5</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氨氮（NH</w:t>
                  </w:r>
                  <w:r>
                    <w:rPr>
                      <w:color w:val="auto"/>
                      <w:highlight w:val="none"/>
                      <w:vertAlign w:val="subscript"/>
                    </w:rPr>
                    <w:t>3</w:t>
                  </w:r>
                  <w:r>
                    <w:rPr>
                      <w:color w:val="auto"/>
                      <w:highlight w:val="none"/>
                    </w:rPr>
                    <w:t>-N）</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45</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5</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218"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6</w:t>
                  </w:r>
                </w:p>
              </w:tc>
              <w:tc>
                <w:tcPr>
                  <w:tcW w:w="1490"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总氮（以N计）</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70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15</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56"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7</w:t>
                  </w:r>
                </w:p>
              </w:tc>
              <w:tc>
                <w:tcPr>
                  <w:tcW w:w="1490"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总磷（以P计）</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8.0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0.5</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8</w:t>
                  </w:r>
                </w:p>
              </w:tc>
              <w:tc>
                <w:tcPr>
                  <w:tcW w:w="1490"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石油类</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15</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1</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9</w:t>
                  </w:r>
                </w:p>
              </w:tc>
              <w:tc>
                <w:tcPr>
                  <w:tcW w:w="1490" w:type="pct"/>
                  <w:tcBorders>
                    <w:left w:val="single" w:color="000000" w:sz="4" w:space="0"/>
                    <w:right w:val="single" w:color="000000" w:sz="4" w:space="0"/>
                  </w:tcBorders>
                  <w:vAlign w:val="center"/>
                </w:tcPr>
                <w:p>
                  <w:pPr>
                    <w:pStyle w:val="50"/>
                    <w:rPr>
                      <w:color w:val="auto"/>
                      <w:highlight w:val="none"/>
                    </w:rPr>
                  </w:pPr>
                  <w:r>
                    <w:rPr>
                      <w:color w:val="auto"/>
                      <w:highlight w:val="none"/>
                    </w:rPr>
                    <w:t>LAS</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20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0.5</w:t>
                  </w:r>
                  <w:r>
                    <w:rPr>
                      <w:color w:val="auto"/>
                      <w:highlight w:val="none"/>
                    </w:rPr>
                    <w:t>mg/L</w:t>
                  </w:r>
                </w:p>
              </w:tc>
            </w:tr>
            <w:tr>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161" w:hRule="atLeast"/>
                <w:jc w:val="center"/>
              </w:trPr>
              <w:tc>
                <w:tcPr>
                  <w:tcW w:w="398" w:type="pct"/>
                  <w:tcBorders>
                    <w:right w:val="single" w:color="000000" w:sz="4" w:space="0"/>
                  </w:tcBorders>
                  <w:vAlign w:val="center"/>
                </w:tcPr>
                <w:p>
                  <w:pPr>
                    <w:pStyle w:val="50"/>
                    <w:rPr>
                      <w:color w:val="auto"/>
                      <w:highlight w:val="none"/>
                    </w:rPr>
                  </w:pPr>
                  <w:r>
                    <w:rPr>
                      <w:rFonts w:hint="eastAsia"/>
                      <w:color w:val="auto"/>
                      <w:highlight w:val="none"/>
                    </w:rPr>
                    <w:t>10</w:t>
                  </w:r>
                </w:p>
              </w:tc>
              <w:tc>
                <w:tcPr>
                  <w:tcW w:w="1490"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氟化物</w:t>
                  </w:r>
                </w:p>
              </w:tc>
              <w:tc>
                <w:tcPr>
                  <w:tcW w:w="1558" w:type="pct"/>
                  <w:tcBorders>
                    <w:left w:val="single" w:color="000000" w:sz="4" w:space="0"/>
                    <w:right w:val="single" w:color="000000" w:sz="4" w:space="0"/>
                  </w:tcBorders>
                  <w:vAlign w:val="center"/>
                </w:tcPr>
                <w:p>
                  <w:pPr>
                    <w:pStyle w:val="50"/>
                    <w:rPr>
                      <w:color w:val="auto"/>
                      <w:highlight w:val="none"/>
                    </w:rPr>
                  </w:pPr>
                  <w:r>
                    <w:rPr>
                      <w:rFonts w:hint="eastAsia"/>
                      <w:color w:val="auto"/>
                      <w:highlight w:val="none"/>
                    </w:rPr>
                    <w:t>20</w:t>
                  </w:r>
                  <w:r>
                    <w:rPr>
                      <w:color w:val="auto"/>
                      <w:highlight w:val="none"/>
                    </w:rPr>
                    <w:t>mg/L</w:t>
                  </w:r>
                </w:p>
              </w:tc>
              <w:tc>
                <w:tcPr>
                  <w:tcW w:w="1552" w:type="pct"/>
                  <w:tcBorders>
                    <w:left w:val="single" w:color="000000" w:sz="4" w:space="0"/>
                  </w:tcBorders>
                  <w:vAlign w:val="center"/>
                </w:tcPr>
                <w:p>
                  <w:pPr>
                    <w:pStyle w:val="50"/>
                    <w:rPr>
                      <w:color w:val="auto"/>
                      <w:highlight w:val="none"/>
                    </w:rPr>
                  </w:pPr>
                  <w:r>
                    <w:rPr>
                      <w:rFonts w:hint="eastAsia"/>
                      <w:color w:val="auto"/>
                      <w:highlight w:val="none"/>
                    </w:rPr>
                    <w:t>10</w:t>
                  </w:r>
                  <w:r>
                    <w:rPr>
                      <w:color w:val="auto"/>
                      <w:highlight w:val="none"/>
                    </w:rPr>
                    <w:t>mg/L</w:t>
                  </w:r>
                </w:p>
              </w:tc>
            </w:tr>
          </w:tbl>
          <w:p>
            <w:pPr>
              <w:pStyle w:val="29"/>
              <w:rPr>
                <w:color w:val="auto"/>
                <w:highlight w:val="none"/>
              </w:rPr>
            </w:pPr>
            <w:r>
              <w:rPr>
                <w:rFonts w:hint="eastAsia"/>
                <w:color w:val="auto"/>
                <w:highlight w:val="none"/>
              </w:rPr>
              <w:t>3.3.2 大气污染物排放标准</w:t>
            </w:r>
          </w:p>
          <w:p>
            <w:pPr>
              <w:pStyle w:val="32"/>
              <w:ind w:firstLine="480"/>
              <w:rPr>
                <w:color w:val="auto"/>
                <w:highlight w:val="none"/>
              </w:rPr>
            </w:pPr>
            <w:r>
              <w:rPr>
                <w:rFonts w:hint="eastAsia"/>
                <w:color w:val="auto"/>
                <w:highlight w:val="none"/>
              </w:rPr>
              <w:t>（1）施工期</w:t>
            </w:r>
          </w:p>
          <w:p>
            <w:pPr>
              <w:pStyle w:val="32"/>
              <w:ind w:firstLine="480"/>
              <w:rPr>
                <w:color w:val="auto"/>
                <w:highlight w:val="none"/>
              </w:rPr>
            </w:pPr>
            <w:r>
              <w:rPr>
                <w:rFonts w:hint="eastAsia"/>
                <w:color w:val="auto"/>
                <w:highlight w:val="none"/>
              </w:rPr>
              <w:t>项目施工期扬尘以无组织方式排放，大气污染物排放执行《大气污染物综合排放标准》（GB16297-1996）中的表2二级标准，详见</w:t>
            </w:r>
            <w:r>
              <w:rPr>
                <w:color w:val="auto"/>
                <w:highlight w:val="none"/>
              </w:rPr>
              <w:fldChar w:fldCharType="begin"/>
            </w:r>
            <w:r>
              <w:rPr>
                <w:color w:val="auto"/>
                <w:highlight w:val="none"/>
              </w:rPr>
              <w:instrText xml:space="preserve"> REF _Ref21154 \h </w:instrText>
            </w:r>
            <w:r>
              <w:rPr>
                <w:color w:val="auto"/>
                <w:highlight w:val="none"/>
              </w:rPr>
              <w:fldChar w:fldCharType="separate"/>
            </w:r>
            <w:r>
              <w:rPr>
                <w:rFonts w:hint="eastAsia"/>
                <w:color w:val="auto"/>
                <w:highlight w:val="none"/>
              </w:rPr>
              <w:t>表</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3</w:t>
            </w:r>
            <w:r>
              <w:rPr>
                <w:rFonts w:hint="eastAsia"/>
                <w:color w:val="auto"/>
                <w:highlight w:val="none"/>
              </w:rPr>
              <w:t>.3</w:t>
            </w:r>
            <w:r>
              <w:rPr>
                <w:rFonts w:hint="eastAsia"/>
                <w:color w:val="auto"/>
                <w:highlight w:val="none"/>
              </w:rPr>
              <w:fldChar w:fldCharType="end"/>
            </w:r>
            <w:r>
              <w:rPr>
                <w:color w:val="auto"/>
                <w:highlight w:val="none"/>
              </w:rPr>
              <w:t>.</w:t>
            </w:r>
            <w:r>
              <w:rPr>
                <w:rFonts w:hint="eastAsia"/>
                <w:color w:val="auto"/>
                <w:highlight w:val="none"/>
              </w:rPr>
              <w:t>2</w:t>
            </w:r>
            <w:r>
              <w:rPr>
                <w:color w:val="auto"/>
                <w:highlight w:val="none"/>
              </w:rPr>
              <w:fldChar w:fldCharType="end"/>
            </w:r>
            <w:r>
              <w:rPr>
                <w:rFonts w:hint="eastAsia"/>
                <w:color w:val="auto"/>
                <w:highlight w:val="none"/>
              </w:rPr>
              <w:t>。</w:t>
            </w:r>
          </w:p>
          <w:p>
            <w:pPr>
              <w:pStyle w:val="36"/>
              <w:rPr>
                <w:color w:val="auto"/>
                <w:highlight w:val="none"/>
              </w:rPr>
            </w:pPr>
            <w:bookmarkStart w:id="10" w:name="_Ref21154"/>
            <w:r>
              <w:rPr>
                <w:rFonts w:hint="eastAsia"/>
                <w:color w:val="auto"/>
                <w:highlight w:val="none"/>
              </w:rPr>
              <w:t>表</w:t>
            </w:r>
            <w:r>
              <w:rPr>
                <w:color w:val="auto"/>
                <w:highlight w:val="none"/>
              </w:rPr>
              <w:t xml:space="preserve">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3</w:t>
            </w:r>
            <w:r>
              <w:rPr>
                <w:rFonts w:hint="eastAsia"/>
                <w:color w:val="auto"/>
                <w:highlight w:val="none"/>
              </w:rPr>
              <w:t>.3</w:t>
            </w:r>
            <w:r>
              <w:rPr>
                <w:rFonts w:hint="eastAsia"/>
                <w:color w:val="auto"/>
                <w:highlight w:val="none"/>
              </w:rPr>
              <w:fldChar w:fldCharType="end"/>
            </w:r>
            <w:r>
              <w:rPr>
                <w:color w:val="auto"/>
                <w:highlight w:val="none"/>
              </w:rPr>
              <w:t>.</w:t>
            </w:r>
            <w:bookmarkEnd w:id="10"/>
            <w:r>
              <w:rPr>
                <w:rFonts w:hint="eastAsia"/>
                <w:color w:val="auto"/>
                <w:highlight w:val="none"/>
              </w:rPr>
              <w:t>2  施工期大气污染物排放标准（摘录）</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024"/>
              <w:gridCol w:w="1590"/>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3" w:type="pct"/>
                  <w:vMerge w:val="restart"/>
                  <w:vAlign w:val="center"/>
                </w:tcPr>
                <w:p>
                  <w:pPr>
                    <w:pStyle w:val="50"/>
                    <w:rPr>
                      <w:color w:val="auto"/>
                      <w:highlight w:val="none"/>
                    </w:rPr>
                  </w:pPr>
                  <w:r>
                    <w:rPr>
                      <w:color w:val="auto"/>
                      <w:highlight w:val="none"/>
                    </w:rPr>
                    <w:t>污染物</w:t>
                  </w:r>
                </w:p>
              </w:tc>
              <w:tc>
                <w:tcPr>
                  <w:tcW w:w="2137" w:type="pct"/>
                  <w:gridSpan w:val="2"/>
                  <w:vAlign w:val="center"/>
                </w:tcPr>
                <w:p>
                  <w:pPr>
                    <w:pStyle w:val="50"/>
                    <w:rPr>
                      <w:color w:val="auto"/>
                      <w:highlight w:val="none"/>
                    </w:rPr>
                  </w:pPr>
                  <w:r>
                    <w:rPr>
                      <w:color w:val="auto"/>
                      <w:highlight w:val="none"/>
                    </w:rPr>
                    <w:t>无组织排放监控浓度限值</w:t>
                  </w:r>
                </w:p>
              </w:tc>
              <w:tc>
                <w:tcPr>
                  <w:tcW w:w="2218" w:type="pct"/>
                  <w:vMerge w:val="restart"/>
                  <w:vAlign w:val="center"/>
                </w:tcPr>
                <w:p>
                  <w:pPr>
                    <w:pStyle w:val="50"/>
                    <w:rPr>
                      <w:color w:val="auto"/>
                      <w:highlight w:val="none"/>
                    </w:rPr>
                  </w:pPr>
                  <w:r>
                    <w:rPr>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3" w:type="pct"/>
                  <w:vMerge w:val="continue"/>
                  <w:vAlign w:val="center"/>
                </w:tcPr>
                <w:p>
                  <w:pPr>
                    <w:pStyle w:val="50"/>
                    <w:rPr>
                      <w:color w:val="auto"/>
                      <w:highlight w:val="none"/>
                    </w:rPr>
                  </w:pPr>
                </w:p>
              </w:tc>
              <w:tc>
                <w:tcPr>
                  <w:tcW w:w="1197" w:type="pct"/>
                  <w:vAlign w:val="center"/>
                </w:tcPr>
                <w:p>
                  <w:pPr>
                    <w:pStyle w:val="50"/>
                    <w:rPr>
                      <w:color w:val="auto"/>
                      <w:highlight w:val="none"/>
                    </w:rPr>
                  </w:pPr>
                  <w:r>
                    <w:rPr>
                      <w:color w:val="auto"/>
                      <w:highlight w:val="none"/>
                    </w:rPr>
                    <w:t>监控点</w:t>
                  </w:r>
                </w:p>
              </w:tc>
              <w:tc>
                <w:tcPr>
                  <w:tcW w:w="939" w:type="pct"/>
                  <w:vAlign w:val="center"/>
                </w:tcPr>
                <w:p>
                  <w:pPr>
                    <w:pStyle w:val="50"/>
                    <w:rPr>
                      <w:color w:val="auto"/>
                      <w:highlight w:val="none"/>
                    </w:rPr>
                  </w:pPr>
                  <w:r>
                    <w:rPr>
                      <w:color w:val="auto"/>
                      <w:highlight w:val="none"/>
                    </w:rPr>
                    <w:t>浓度</w:t>
                  </w:r>
                  <w:r>
                    <w:rPr>
                      <w:rFonts w:hint="eastAsia"/>
                      <w:color w:val="auto"/>
                      <w:highlight w:val="none"/>
                    </w:rPr>
                    <w:t>（mg/m</w:t>
                  </w:r>
                  <w:r>
                    <w:rPr>
                      <w:rFonts w:hint="eastAsia"/>
                      <w:color w:val="auto"/>
                      <w:highlight w:val="none"/>
                      <w:vertAlign w:val="superscript"/>
                    </w:rPr>
                    <w:t>3</w:t>
                  </w:r>
                  <w:r>
                    <w:rPr>
                      <w:rFonts w:hint="eastAsia"/>
                      <w:color w:val="auto"/>
                      <w:highlight w:val="none"/>
                    </w:rPr>
                    <w:t>）</w:t>
                  </w:r>
                </w:p>
              </w:tc>
              <w:tc>
                <w:tcPr>
                  <w:tcW w:w="2218" w:type="pct"/>
                  <w:vMerge w:val="continue"/>
                  <w:vAlign w:val="center"/>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3" w:type="pct"/>
                  <w:vAlign w:val="center"/>
                </w:tcPr>
                <w:p>
                  <w:pPr>
                    <w:pStyle w:val="50"/>
                    <w:rPr>
                      <w:color w:val="auto"/>
                      <w:highlight w:val="none"/>
                    </w:rPr>
                  </w:pPr>
                  <w:r>
                    <w:rPr>
                      <w:color w:val="auto"/>
                      <w:highlight w:val="none"/>
                    </w:rPr>
                    <w:t>颗粒物</w:t>
                  </w:r>
                </w:p>
              </w:tc>
              <w:tc>
                <w:tcPr>
                  <w:tcW w:w="1197" w:type="pct"/>
                  <w:vAlign w:val="center"/>
                </w:tcPr>
                <w:p>
                  <w:pPr>
                    <w:pStyle w:val="50"/>
                    <w:rPr>
                      <w:color w:val="auto"/>
                      <w:highlight w:val="none"/>
                    </w:rPr>
                  </w:pPr>
                  <w:r>
                    <w:rPr>
                      <w:color w:val="auto"/>
                      <w:highlight w:val="none"/>
                    </w:rPr>
                    <w:t>周界外浓度最高点</w:t>
                  </w:r>
                </w:p>
              </w:tc>
              <w:tc>
                <w:tcPr>
                  <w:tcW w:w="939" w:type="pct"/>
                  <w:vAlign w:val="center"/>
                </w:tcPr>
                <w:p>
                  <w:pPr>
                    <w:pStyle w:val="50"/>
                    <w:rPr>
                      <w:color w:val="auto"/>
                      <w:highlight w:val="none"/>
                    </w:rPr>
                  </w:pPr>
                  <w:r>
                    <w:rPr>
                      <w:color w:val="auto"/>
                      <w:highlight w:val="none"/>
                    </w:rPr>
                    <w:t>1.00</w:t>
                  </w:r>
                </w:p>
              </w:tc>
              <w:tc>
                <w:tcPr>
                  <w:tcW w:w="2218" w:type="pct"/>
                  <w:vAlign w:val="center"/>
                </w:tcPr>
                <w:p>
                  <w:pPr>
                    <w:pStyle w:val="50"/>
                    <w:rPr>
                      <w:color w:val="auto"/>
                      <w:highlight w:val="none"/>
                    </w:rPr>
                  </w:pPr>
                  <w:r>
                    <w:rPr>
                      <w:color w:val="auto"/>
                      <w:highlight w:val="none"/>
                    </w:rPr>
                    <w:t>《大气污染物综合排放标准》（GB16297-1996）二级标准</w:t>
                  </w:r>
                </w:p>
              </w:tc>
            </w:tr>
          </w:tbl>
          <w:p>
            <w:pPr>
              <w:pStyle w:val="32"/>
              <w:ind w:firstLine="480"/>
              <w:rPr>
                <w:rFonts w:hint="eastAsia" w:hAnsi="宋体"/>
                <w:color w:val="auto"/>
                <w:highlight w:val="none"/>
              </w:rPr>
            </w:pPr>
            <w:r>
              <w:rPr>
                <w:rFonts w:hint="eastAsia" w:hAnsi="宋体"/>
                <w:color w:val="auto"/>
                <w:highlight w:val="none"/>
              </w:rPr>
              <w:t>（2）运营期</w:t>
            </w:r>
          </w:p>
          <w:p>
            <w:pPr>
              <w:pStyle w:val="29"/>
              <w:ind w:firstLine="480" w:firstLineChars="200"/>
              <w:jc w:val="both"/>
              <w:rPr>
                <w:rFonts w:eastAsia="宋体"/>
                <w:b w:val="0"/>
                <w:bCs w:val="0"/>
                <w:color w:val="auto"/>
                <w:sz w:val="24"/>
                <w:szCs w:val="24"/>
                <w:highlight w:val="none"/>
              </w:rPr>
            </w:pPr>
            <w:r>
              <w:rPr>
                <w:rFonts w:hint="eastAsia" w:eastAsia="宋体"/>
                <w:b w:val="0"/>
                <w:bCs w:val="0"/>
                <w:color w:val="auto"/>
                <w:sz w:val="24"/>
                <w:szCs w:val="24"/>
                <w:highlight w:val="none"/>
              </w:rPr>
              <w:t>颗粒物排放执行《大气污染物综合排放标准》（GB16297-1996）表2新污染源大气污染物有组织最高允许排放浓度限值、无组织排放监控浓度限值。详见表3.3.3。</w:t>
            </w:r>
          </w:p>
          <w:p>
            <w:pPr>
              <w:pStyle w:val="33"/>
              <w:rPr>
                <w:color w:val="auto"/>
                <w:highlight w:val="none"/>
              </w:rPr>
            </w:pPr>
            <w:r>
              <w:rPr>
                <w:rFonts w:hint="eastAsia"/>
                <w:color w:val="auto"/>
                <w:highlight w:val="none"/>
              </w:rPr>
              <w:t>表</w:t>
            </w:r>
            <w:r>
              <w:rPr>
                <w:color w:val="auto"/>
                <w:highlight w:val="none"/>
              </w:rPr>
              <w:t xml:space="preserve"> </w:t>
            </w:r>
            <w:r>
              <w:rPr>
                <w:color w:val="auto"/>
                <w:highlight w:val="none"/>
              </w:rPr>
              <w:fldChar w:fldCharType="begin"/>
            </w:r>
            <w:r>
              <w:rPr>
                <w:color w:val="auto"/>
                <w:highlight w:val="none"/>
              </w:rPr>
              <w:instrText xml:space="preserve"> STYLEREF 2 \s </w:instrText>
            </w:r>
            <w:r>
              <w:rPr>
                <w:color w:val="auto"/>
                <w:highlight w:val="none"/>
              </w:rPr>
              <w:fldChar w:fldCharType="separate"/>
            </w:r>
            <w:r>
              <w:rPr>
                <w:color w:val="auto"/>
                <w:highlight w:val="none"/>
              </w:rPr>
              <w:t>3</w:t>
            </w:r>
            <w:r>
              <w:rPr>
                <w:rFonts w:hint="eastAsia"/>
                <w:color w:val="auto"/>
                <w:highlight w:val="none"/>
              </w:rPr>
              <w:t>.3</w:t>
            </w:r>
            <w:r>
              <w:rPr>
                <w:rFonts w:hint="eastAsia"/>
                <w:color w:val="auto"/>
                <w:highlight w:val="none"/>
              </w:rPr>
              <w:fldChar w:fldCharType="end"/>
            </w:r>
            <w:r>
              <w:rPr>
                <w:color w:val="auto"/>
                <w:highlight w:val="none"/>
              </w:rPr>
              <w:t>.</w:t>
            </w:r>
            <w:r>
              <w:rPr>
                <w:rFonts w:hint="eastAsia"/>
                <w:color w:val="auto"/>
                <w:highlight w:val="none"/>
              </w:rPr>
              <w:t>3  项目大气污染物排放标准</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71"/>
              <w:gridCol w:w="1395"/>
              <w:gridCol w:w="1525"/>
              <w:gridCol w:w="1030"/>
              <w:gridCol w:w="1525"/>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1" w:type="pct"/>
                  <w:vMerge w:val="restart"/>
                  <w:vAlign w:val="center"/>
                </w:tcPr>
                <w:p>
                  <w:pPr>
                    <w:pStyle w:val="50"/>
                    <w:rPr>
                      <w:color w:val="auto"/>
                      <w:highlight w:val="none"/>
                    </w:rPr>
                  </w:pPr>
                  <w:r>
                    <w:rPr>
                      <w:rFonts w:hint="eastAsia"/>
                      <w:color w:val="auto"/>
                      <w:highlight w:val="none"/>
                    </w:rPr>
                    <w:t>序号</w:t>
                  </w:r>
                </w:p>
              </w:tc>
              <w:tc>
                <w:tcPr>
                  <w:tcW w:w="515" w:type="pct"/>
                  <w:vMerge w:val="restart"/>
                  <w:vAlign w:val="center"/>
                </w:tcPr>
                <w:p>
                  <w:pPr>
                    <w:pStyle w:val="50"/>
                    <w:rPr>
                      <w:color w:val="auto"/>
                      <w:highlight w:val="none"/>
                    </w:rPr>
                  </w:pPr>
                  <w:r>
                    <w:rPr>
                      <w:color w:val="auto"/>
                      <w:highlight w:val="none"/>
                    </w:rPr>
                    <w:t>污染物</w:t>
                  </w:r>
                </w:p>
              </w:tc>
              <w:tc>
                <w:tcPr>
                  <w:tcW w:w="825" w:type="pct"/>
                  <w:vMerge w:val="restart"/>
                  <w:vAlign w:val="center"/>
                </w:tcPr>
                <w:p>
                  <w:pPr>
                    <w:pStyle w:val="50"/>
                    <w:rPr>
                      <w:color w:val="auto"/>
                      <w:highlight w:val="none"/>
                    </w:rPr>
                  </w:pPr>
                  <w:r>
                    <w:rPr>
                      <w:rFonts w:hint="eastAsia"/>
                      <w:color w:val="auto"/>
                      <w:highlight w:val="none"/>
                    </w:rPr>
                    <w:t>最高允许排放浓度mg/m</w:t>
                  </w:r>
                  <w:r>
                    <w:rPr>
                      <w:rFonts w:hint="eastAsia"/>
                      <w:color w:val="auto"/>
                      <w:highlight w:val="none"/>
                      <w:vertAlign w:val="superscript"/>
                    </w:rPr>
                    <w:t>3</w:t>
                  </w:r>
                </w:p>
              </w:tc>
              <w:tc>
                <w:tcPr>
                  <w:tcW w:w="1511" w:type="pct"/>
                  <w:gridSpan w:val="2"/>
                  <w:vAlign w:val="center"/>
                </w:tcPr>
                <w:p>
                  <w:pPr>
                    <w:pStyle w:val="50"/>
                    <w:rPr>
                      <w:color w:val="auto"/>
                      <w:highlight w:val="none"/>
                    </w:rPr>
                  </w:pPr>
                  <w:r>
                    <w:rPr>
                      <w:rFonts w:hint="eastAsia"/>
                      <w:color w:val="auto"/>
                      <w:highlight w:val="none"/>
                    </w:rPr>
                    <w:t>最高允许排放速率kg/h</w:t>
                  </w:r>
                </w:p>
              </w:tc>
              <w:tc>
                <w:tcPr>
                  <w:tcW w:w="1806" w:type="pct"/>
                  <w:gridSpan w:val="2"/>
                  <w:vAlign w:val="center"/>
                </w:tcPr>
                <w:p>
                  <w:pPr>
                    <w:pStyle w:val="50"/>
                    <w:rPr>
                      <w:color w:val="auto"/>
                      <w:highlight w:val="none"/>
                    </w:rPr>
                  </w:pPr>
                  <w:r>
                    <w:rPr>
                      <w:rFonts w:hint="eastAsia"/>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1" w:type="pct"/>
                  <w:vMerge w:val="continue"/>
                  <w:vAlign w:val="center"/>
                </w:tcPr>
                <w:p>
                  <w:pPr>
                    <w:pStyle w:val="50"/>
                    <w:rPr>
                      <w:color w:val="auto"/>
                      <w:highlight w:val="none"/>
                    </w:rPr>
                  </w:pPr>
                </w:p>
              </w:tc>
              <w:tc>
                <w:tcPr>
                  <w:tcW w:w="515" w:type="pct"/>
                  <w:vMerge w:val="continue"/>
                  <w:vAlign w:val="center"/>
                </w:tcPr>
                <w:p>
                  <w:pPr>
                    <w:pStyle w:val="50"/>
                    <w:rPr>
                      <w:color w:val="auto"/>
                      <w:highlight w:val="none"/>
                    </w:rPr>
                  </w:pPr>
                </w:p>
              </w:tc>
              <w:tc>
                <w:tcPr>
                  <w:tcW w:w="825" w:type="pct"/>
                  <w:vMerge w:val="continue"/>
                  <w:vAlign w:val="center"/>
                </w:tcPr>
                <w:p>
                  <w:pPr>
                    <w:pStyle w:val="50"/>
                    <w:rPr>
                      <w:color w:val="auto"/>
                      <w:highlight w:val="none"/>
                    </w:rPr>
                  </w:pPr>
                </w:p>
              </w:tc>
              <w:tc>
                <w:tcPr>
                  <w:tcW w:w="902" w:type="pct"/>
                  <w:vAlign w:val="center"/>
                </w:tcPr>
                <w:p>
                  <w:pPr>
                    <w:pStyle w:val="50"/>
                    <w:rPr>
                      <w:color w:val="auto"/>
                      <w:highlight w:val="none"/>
                    </w:rPr>
                  </w:pPr>
                  <w:r>
                    <w:rPr>
                      <w:rFonts w:hint="eastAsia"/>
                      <w:color w:val="auto"/>
                      <w:highlight w:val="none"/>
                    </w:rPr>
                    <w:t>排气筒高度m</w:t>
                  </w:r>
                </w:p>
              </w:tc>
              <w:tc>
                <w:tcPr>
                  <w:tcW w:w="609" w:type="pct"/>
                  <w:vAlign w:val="center"/>
                </w:tcPr>
                <w:p>
                  <w:pPr>
                    <w:pStyle w:val="50"/>
                    <w:rPr>
                      <w:color w:val="auto"/>
                      <w:highlight w:val="none"/>
                    </w:rPr>
                  </w:pPr>
                  <w:r>
                    <w:rPr>
                      <w:rFonts w:hint="eastAsia"/>
                      <w:color w:val="auto"/>
                      <w:highlight w:val="none"/>
                    </w:rPr>
                    <w:t>二级</w:t>
                  </w:r>
                </w:p>
              </w:tc>
              <w:tc>
                <w:tcPr>
                  <w:tcW w:w="902" w:type="pct"/>
                  <w:vAlign w:val="center"/>
                </w:tcPr>
                <w:p>
                  <w:pPr>
                    <w:pStyle w:val="50"/>
                    <w:rPr>
                      <w:color w:val="auto"/>
                      <w:highlight w:val="none"/>
                    </w:rPr>
                  </w:pPr>
                  <w:r>
                    <w:rPr>
                      <w:rFonts w:hint="eastAsia"/>
                      <w:color w:val="auto"/>
                      <w:highlight w:val="none"/>
                    </w:rPr>
                    <w:t>监控点</w:t>
                  </w:r>
                </w:p>
              </w:tc>
              <w:tc>
                <w:tcPr>
                  <w:tcW w:w="904" w:type="pct"/>
                  <w:vAlign w:val="center"/>
                </w:tcPr>
                <w:p>
                  <w:pPr>
                    <w:pStyle w:val="50"/>
                    <w:rPr>
                      <w:color w:val="auto"/>
                      <w:highlight w:val="none"/>
                    </w:rPr>
                  </w:pPr>
                  <w:r>
                    <w:rPr>
                      <w:rFonts w:hint="eastAsia"/>
                      <w:color w:val="auto"/>
                      <w:highlight w:val="none"/>
                    </w:rPr>
                    <w:t>浓度mg/m</w:t>
                  </w:r>
                  <w:r>
                    <w:rPr>
                      <w:rFonts w:hint="eastAsia"/>
                      <w:color w:val="auto"/>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1" w:type="pct"/>
                  <w:vAlign w:val="center"/>
                </w:tcPr>
                <w:p>
                  <w:pPr>
                    <w:pStyle w:val="50"/>
                    <w:rPr>
                      <w:color w:val="auto"/>
                      <w:highlight w:val="none"/>
                    </w:rPr>
                  </w:pPr>
                  <w:r>
                    <w:rPr>
                      <w:rFonts w:hint="eastAsia"/>
                      <w:color w:val="auto"/>
                      <w:highlight w:val="none"/>
                    </w:rPr>
                    <w:t>1</w:t>
                  </w:r>
                </w:p>
              </w:tc>
              <w:tc>
                <w:tcPr>
                  <w:tcW w:w="515" w:type="pct"/>
                  <w:vAlign w:val="center"/>
                </w:tcPr>
                <w:p>
                  <w:pPr>
                    <w:pStyle w:val="50"/>
                    <w:rPr>
                      <w:color w:val="auto"/>
                      <w:highlight w:val="none"/>
                    </w:rPr>
                  </w:pPr>
                  <w:r>
                    <w:rPr>
                      <w:color w:val="auto"/>
                      <w:highlight w:val="none"/>
                    </w:rPr>
                    <w:t>颗粒物</w:t>
                  </w:r>
                </w:p>
              </w:tc>
              <w:tc>
                <w:tcPr>
                  <w:tcW w:w="825" w:type="pct"/>
                  <w:vAlign w:val="center"/>
                </w:tcPr>
                <w:p>
                  <w:pPr>
                    <w:pStyle w:val="50"/>
                    <w:rPr>
                      <w:color w:val="auto"/>
                      <w:highlight w:val="none"/>
                    </w:rPr>
                  </w:pPr>
                  <w:r>
                    <w:rPr>
                      <w:rFonts w:hint="eastAsia"/>
                      <w:color w:val="auto"/>
                      <w:highlight w:val="none"/>
                    </w:rPr>
                    <w:t>120</w:t>
                  </w:r>
                </w:p>
              </w:tc>
              <w:tc>
                <w:tcPr>
                  <w:tcW w:w="902" w:type="pct"/>
                  <w:vAlign w:val="center"/>
                </w:tcPr>
                <w:p>
                  <w:pPr>
                    <w:pStyle w:val="50"/>
                    <w:rPr>
                      <w:color w:val="auto"/>
                      <w:highlight w:val="none"/>
                    </w:rPr>
                  </w:pPr>
                  <w:r>
                    <w:rPr>
                      <w:rFonts w:hint="eastAsia"/>
                      <w:color w:val="auto"/>
                      <w:highlight w:val="none"/>
                    </w:rPr>
                    <w:t>15</w:t>
                  </w:r>
                </w:p>
              </w:tc>
              <w:tc>
                <w:tcPr>
                  <w:tcW w:w="609" w:type="pct"/>
                  <w:vAlign w:val="center"/>
                </w:tcPr>
                <w:p>
                  <w:pPr>
                    <w:pStyle w:val="50"/>
                    <w:rPr>
                      <w:color w:val="auto"/>
                      <w:highlight w:val="none"/>
                    </w:rPr>
                  </w:pPr>
                  <w:r>
                    <w:rPr>
                      <w:rFonts w:hint="eastAsia"/>
                      <w:color w:val="auto"/>
                      <w:highlight w:val="none"/>
                    </w:rPr>
                    <w:t>3.5</w:t>
                  </w:r>
                </w:p>
              </w:tc>
              <w:tc>
                <w:tcPr>
                  <w:tcW w:w="902" w:type="pct"/>
                  <w:vAlign w:val="center"/>
                </w:tcPr>
                <w:p>
                  <w:pPr>
                    <w:pStyle w:val="50"/>
                    <w:rPr>
                      <w:color w:val="auto"/>
                      <w:highlight w:val="none"/>
                    </w:rPr>
                  </w:pPr>
                  <w:r>
                    <w:rPr>
                      <w:rFonts w:hint="eastAsia"/>
                      <w:color w:val="auto"/>
                      <w:highlight w:val="none"/>
                    </w:rPr>
                    <w:t>周界外浓度最高点</w:t>
                  </w:r>
                </w:p>
              </w:tc>
              <w:tc>
                <w:tcPr>
                  <w:tcW w:w="904" w:type="pct"/>
                  <w:vAlign w:val="center"/>
                </w:tcPr>
                <w:p>
                  <w:pPr>
                    <w:pStyle w:val="50"/>
                    <w:rPr>
                      <w:color w:val="auto"/>
                      <w:highlight w:val="none"/>
                    </w:rPr>
                  </w:pPr>
                  <w:r>
                    <w:rPr>
                      <w:rFonts w:hint="eastAsia"/>
                      <w:color w:val="auto"/>
                      <w:highlight w:val="none"/>
                    </w:rPr>
                    <w:t>1.0</w:t>
                  </w:r>
                </w:p>
              </w:tc>
            </w:tr>
          </w:tbl>
          <w:p>
            <w:pPr>
              <w:pStyle w:val="29"/>
              <w:rPr>
                <w:color w:val="auto"/>
                <w:highlight w:val="none"/>
              </w:rPr>
            </w:pPr>
            <w:r>
              <w:rPr>
                <w:rFonts w:hint="eastAsia"/>
                <w:color w:val="auto"/>
                <w:highlight w:val="none"/>
              </w:rPr>
              <w:t>3.3.3 厂界噪声排放标准</w:t>
            </w:r>
          </w:p>
          <w:p>
            <w:pPr>
              <w:pStyle w:val="54"/>
              <w:ind w:firstLine="480"/>
              <w:rPr>
                <w:rFonts w:ascii="Times New Roman" w:hAnsi="Times New Roman" w:cs="Times New Roman"/>
                <w:color w:val="auto"/>
                <w:highlight w:val="none"/>
              </w:rPr>
            </w:pPr>
            <w:r>
              <w:rPr>
                <w:rFonts w:hint="eastAsia" w:ascii="Times New Roman" w:hAnsi="Times New Roman" w:cs="Times New Roman"/>
                <w:color w:val="auto"/>
                <w:highlight w:val="none"/>
              </w:rPr>
              <w:t>（1）施工期</w:t>
            </w:r>
          </w:p>
          <w:p>
            <w:pPr>
              <w:pStyle w:val="54"/>
              <w:ind w:firstLine="480"/>
              <w:rPr>
                <w:rFonts w:ascii="Times New Roman" w:hAnsi="Times New Roman" w:cs="Times New Roman"/>
                <w:color w:val="auto"/>
                <w:highlight w:val="none"/>
              </w:rPr>
            </w:pPr>
            <w:r>
              <w:rPr>
                <w:rFonts w:ascii="Times New Roman" w:hAnsi="Times New Roman" w:cs="Times New Roman"/>
                <w:color w:val="auto"/>
                <w:highlight w:val="none"/>
              </w:rPr>
              <w:t>施工期噪声排放执行《</w:t>
            </w:r>
            <w:r>
              <w:rPr>
                <w:rFonts w:hint="eastAsia" w:ascii="Times New Roman" w:hAnsi="Times New Roman" w:cs="Times New Roman"/>
                <w:color w:val="auto"/>
                <w:highlight w:val="none"/>
              </w:rPr>
              <w:t>建筑施工噪声排放标准</w:t>
            </w:r>
            <w:r>
              <w:rPr>
                <w:rFonts w:ascii="Times New Roman" w:hAnsi="Times New Roman" w:cs="Times New Roman"/>
                <w:color w:val="auto"/>
                <w:highlight w:val="none"/>
              </w:rPr>
              <w:t>》（GB12523-20</w:t>
            </w:r>
            <w:r>
              <w:rPr>
                <w:rFonts w:hint="eastAsia" w:ascii="Times New Roman" w:hAnsi="Times New Roman" w:cs="Times New Roman"/>
                <w:color w:val="auto"/>
                <w:highlight w:val="none"/>
              </w:rPr>
              <w:t>25</w:t>
            </w:r>
            <w:r>
              <w:rPr>
                <w:rFonts w:ascii="Times New Roman" w:hAnsi="Times New Roman" w:cs="Times New Roman"/>
                <w:color w:val="auto"/>
                <w:highlight w:val="none"/>
              </w:rPr>
              <w:t>）中的标准限值，即昼间≤70dB（A），夜间≤55dB（A）。</w:t>
            </w:r>
          </w:p>
          <w:p>
            <w:pPr>
              <w:pStyle w:val="54"/>
              <w:ind w:firstLine="480"/>
              <w:rPr>
                <w:rFonts w:ascii="Times New Roman" w:hAnsi="Times New Roman" w:cs="Times New Roman"/>
                <w:color w:val="auto"/>
                <w:highlight w:val="none"/>
              </w:rPr>
            </w:pPr>
            <w:r>
              <w:rPr>
                <w:rFonts w:hint="eastAsia" w:ascii="Times New Roman" w:hAnsi="Times New Roman" w:cs="Times New Roman"/>
                <w:color w:val="auto"/>
                <w:highlight w:val="none"/>
              </w:rPr>
              <w:t>（2）运营期</w:t>
            </w:r>
          </w:p>
          <w:p>
            <w:pPr>
              <w:pStyle w:val="54"/>
              <w:ind w:firstLine="480"/>
              <w:rPr>
                <w:rFonts w:ascii="Times New Roman" w:hAnsi="Times New Roman" w:cs="Times New Roman"/>
                <w:color w:val="auto"/>
                <w:highlight w:val="none"/>
              </w:rPr>
            </w:pPr>
            <w:r>
              <w:rPr>
                <w:rFonts w:hint="eastAsia" w:ascii="Times New Roman" w:hAnsi="Times New Roman" w:cs="Times New Roman"/>
                <w:color w:val="auto"/>
                <w:highlight w:val="none"/>
              </w:rPr>
              <w:t>本项目位于保税物流中心（B型）</w:t>
            </w:r>
            <w:r>
              <w:rPr>
                <w:rFonts w:hint="eastAsia" w:ascii="Times New Roman" w:hAnsi="Times New Roman" w:cs="Times New Roman"/>
                <w:color w:val="auto"/>
                <w:highlight w:val="none"/>
                <w:lang w:val="en-US" w:eastAsia="zh-CN"/>
              </w:rPr>
              <w:t>内</w:t>
            </w:r>
            <w:r>
              <w:rPr>
                <w:rFonts w:hint="eastAsia" w:ascii="Times New Roman" w:hAnsi="Times New Roman" w:cs="Times New Roman"/>
                <w:snapToGrid w:val="0"/>
                <w:color w:val="auto"/>
                <w:kern w:val="0"/>
                <w:szCs w:val="21"/>
                <w:highlight w:val="none"/>
              </w:rPr>
              <w:t>。</w:t>
            </w:r>
            <w:r>
              <w:rPr>
                <w:rFonts w:ascii="Times New Roman" w:hAnsi="Times New Roman" w:cs="Times New Roman"/>
                <w:color w:val="auto"/>
                <w:highlight w:val="none"/>
              </w:rPr>
              <w:t>因此，项目运营期</w:t>
            </w:r>
            <w:r>
              <w:rPr>
                <w:rFonts w:hint="eastAsia" w:ascii="Times New Roman" w:hAnsi="Times New Roman" w:cs="Times New Roman"/>
                <w:color w:val="auto"/>
                <w:highlight w:val="none"/>
              </w:rPr>
              <w:t>企业厂界</w:t>
            </w:r>
            <w:r>
              <w:rPr>
                <w:rFonts w:ascii="Times New Roman" w:hAnsi="Times New Roman" w:cs="Times New Roman"/>
                <w:color w:val="auto"/>
                <w:highlight w:val="none"/>
              </w:rPr>
              <w:t>噪声执行</w:t>
            </w:r>
            <w:r>
              <w:rPr>
                <w:rFonts w:hint="eastAsia" w:ascii="Times New Roman" w:hAnsi="Times New Roman" w:cs="Times New Roman"/>
                <w:color w:val="auto"/>
                <w:highlight w:val="none"/>
              </w:rPr>
              <w:t>《</w:t>
            </w:r>
            <w:r>
              <w:rPr>
                <w:rFonts w:ascii="Times New Roman" w:hAnsi="Times New Roman" w:cs="Times New Roman"/>
                <w:color w:val="auto"/>
                <w:highlight w:val="none"/>
              </w:rPr>
              <w:t>工业企业厂界环境噪声排放标准</w:t>
            </w:r>
            <w:r>
              <w:rPr>
                <w:rFonts w:hint="eastAsia" w:ascii="Times New Roman" w:hAnsi="Times New Roman" w:cs="Times New Roman"/>
                <w:color w:val="auto"/>
                <w:highlight w:val="none"/>
              </w:rPr>
              <w:t>》（</w:t>
            </w:r>
            <w:r>
              <w:rPr>
                <w:rFonts w:ascii="Times New Roman" w:hAnsi="Times New Roman" w:cs="Times New Roman"/>
                <w:color w:val="auto"/>
                <w:highlight w:val="none"/>
              </w:rPr>
              <w:t>GB12348-2008</w:t>
            </w:r>
            <w:r>
              <w:rPr>
                <w:rFonts w:hint="eastAsia" w:ascii="Times New Roman" w:hAnsi="Times New Roman" w:cs="Times New Roman"/>
                <w:color w:val="auto"/>
                <w:highlight w:val="none"/>
              </w:rPr>
              <w:t>）中3</w:t>
            </w:r>
            <w:r>
              <w:rPr>
                <w:rFonts w:ascii="Times New Roman" w:hAnsi="Times New Roman" w:cs="Times New Roman"/>
                <w:color w:val="auto"/>
                <w:highlight w:val="none"/>
              </w:rPr>
              <w:t>类标准，具体详见表</w:t>
            </w:r>
            <w:r>
              <w:rPr>
                <w:rFonts w:hint="eastAsia" w:ascii="Times New Roman" w:hAnsi="Times New Roman" w:cs="Times New Roman"/>
                <w:color w:val="auto"/>
                <w:highlight w:val="none"/>
              </w:rPr>
              <w:t>3.3.4</w:t>
            </w:r>
            <w:r>
              <w:rPr>
                <w:rFonts w:ascii="Times New Roman" w:hAnsi="Times New Roman" w:cs="Times New Roman"/>
                <w:color w:val="auto"/>
                <w:highlight w:val="none"/>
              </w:rPr>
              <w:t>。</w:t>
            </w:r>
          </w:p>
          <w:p>
            <w:pPr>
              <w:pStyle w:val="33"/>
              <w:rPr>
                <w:color w:val="auto"/>
                <w:highlight w:val="none"/>
              </w:rPr>
            </w:pPr>
            <w:r>
              <w:rPr>
                <w:rFonts w:hint="eastAsia"/>
                <w:color w:val="auto"/>
                <w:highlight w:val="none"/>
              </w:rPr>
              <w:t>表3.3.4  《工业企业厂界环境噪声排放标准》（GB12348-2008）  单位：dB(A)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2761"/>
              <w:gridCol w:w="2761"/>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190" w:hRule="atLeast"/>
                <w:jc w:val="center"/>
              </w:trPr>
              <w:tc>
                <w:tcPr>
                  <w:tcW w:w="1633" w:type="pct"/>
                </w:tcPr>
                <w:p>
                  <w:pPr>
                    <w:pStyle w:val="43"/>
                    <w:rPr>
                      <w:color w:val="auto"/>
                      <w:highlight w:val="none"/>
                    </w:rPr>
                  </w:pPr>
                  <w:r>
                    <w:rPr>
                      <w:color w:val="auto"/>
                      <w:highlight w:val="none"/>
                    </w:rPr>
                    <w:t>类别</w:t>
                  </w:r>
                </w:p>
              </w:tc>
              <w:tc>
                <w:tcPr>
                  <w:tcW w:w="1633" w:type="pct"/>
                  <w:vAlign w:val="center"/>
                </w:tcPr>
                <w:p>
                  <w:pPr>
                    <w:pStyle w:val="43"/>
                    <w:rPr>
                      <w:color w:val="auto"/>
                      <w:highlight w:val="none"/>
                    </w:rPr>
                  </w:pPr>
                  <w:r>
                    <w:rPr>
                      <w:color w:val="auto"/>
                      <w:highlight w:val="none"/>
                    </w:rPr>
                    <w:t>昼间</w:t>
                  </w:r>
                </w:p>
              </w:tc>
              <w:tc>
                <w:tcPr>
                  <w:tcW w:w="1733" w:type="pct"/>
                  <w:vAlign w:val="center"/>
                </w:tcPr>
                <w:p>
                  <w:pPr>
                    <w:pStyle w:val="43"/>
                    <w:rPr>
                      <w:color w:val="auto"/>
                      <w:highlight w:val="none"/>
                    </w:rPr>
                  </w:pPr>
                  <w:r>
                    <w:rPr>
                      <w:color w:val="auto"/>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90" w:hRule="atLeast"/>
                <w:jc w:val="center"/>
              </w:trPr>
              <w:tc>
                <w:tcPr>
                  <w:tcW w:w="1633" w:type="pct"/>
                </w:tcPr>
                <w:p>
                  <w:pPr>
                    <w:pStyle w:val="43"/>
                    <w:rPr>
                      <w:color w:val="auto"/>
                      <w:highlight w:val="none"/>
                    </w:rPr>
                  </w:pPr>
                  <w:r>
                    <w:rPr>
                      <w:rFonts w:hint="eastAsia"/>
                      <w:color w:val="auto"/>
                      <w:highlight w:val="none"/>
                    </w:rPr>
                    <w:t>3</w:t>
                  </w:r>
                  <w:r>
                    <w:rPr>
                      <w:color w:val="auto"/>
                      <w:highlight w:val="none"/>
                    </w:rPr>
                    <w:t>类</w:t>
                  </w:r>
                </w:p>
              </w:tc>
              <w:tc>
                <w:tcPr>
                  <w:tcW w:w="1633" w:type="pct"/>
                  <w:vAlign w:val="center"/>
                </w:tcPr>
                <w:p>
                  <w:pPr>
                    <w:pStyle w:val="43"/>
                    <w:rPr>
                      <w:color w:val="auto"/>
                      <w:highlight w:val="none"/>
                    </w:rPr>
                  </w:pPr>
                  <w:r>
                    <w:rPr>
                      <w:rFonts w:hint="eastAsia"/>
                      <w:color w:val="auto"/>
                      <w:highlight w:val="none"/>
                    </w:rPr>
                    <w:t>65</w:t>
                  </w:r>
                </w:p>
              </w:tc>
              <w:tc>
                <w:tcPr>
                  <w:tcW w:w="1733" w:type="pct"/>
                  <w:vAlign w:val="center"/>
                </w:tcPr>
                <w:p>
                  <w:pPr>
                    <w:pStyle w:val="43"/>
                    <w:rPr>
                      <w:color w:val="auto"/>
                      <w:highlight w:val="none"/>
                    </w:rPr>
                  </w:pPr>
                  <w:r>
                    <w:rPr>
                      <w:rFonts w:hint="eastAsia"/>
                      <w:color w:val="auto"/>
                      <w:highlight w:val="none"/>
                    </w:rPr>
                    <w:t>55</w:t>
                  </w:r>
                </w:p>
              </w:tc>
            </w:tr>
          </w:tbl>
          <w:p>
            <w:pPr>
              <w:pStyle w:val="29"/>
              <w:rPr>
                <w:color w:val="auto"/>
                <w:highlight w:val="none"/>
              </w:rPr>
            </w:pPr>
            <w:r>
              <w:rPr>
                <w:rFonts w:hint="eastAsia"/>
                <w:color w:val="auto"/>
                <w:highlight w:val="none"/>
              </w:rPr>
              <w:t>3.2.4 固体废物</w:t>
            </w:r>
          </w:p>
          <w:p>
            <w:pPr>
              <w:pStyle w:val="54"/>
              <w:ind w:firstLine="480"/>
              <w:rPr>
                <w:rFonts w:hint="eastAsia"/>
                <w:snapToGrid w:val="0"/>
                <w:color w:val="auto"/>
                <w:kern w:val="0"/>
                <w:szCs w:val="21"/>
                <w:highlight w:val="none"/>
              </w:rPr>
            </w:pPr>
            <w:r>
              <w:rPr>
                <w:rFonts w:hint="eastAsia" w:ascii="Times New Roman" w:hAnsi="Times New Roman" w:cs="Times New Roman"/>
                <w:color w:val="auto"/>
                <w:highlight w:val="none"/>
              </w:rPr>
              <w:t>生活垃圾执行《中华人民共和国固体废物污染环境防治法》“第三章第三节 生活垃圾污染环境的防治”有关规定。一般固体废物贮存、处置执行《一般工业固体废物贮存和填埋污染控制标准》（GB18599-2020）。危险废物贮存执行《危险废物贮存污染控制标准》（GB18597-2023）。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437" w:type="pct"/>
            <w:vAlign w:val="center"/>
          </w:tcPr>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总量</w:t>
            </w:r>
          </w:p>
          <w:p>
            <w:pPr>
              <w:adjustRightInd w:val="0"/>
              <w:snapToGrid w:val="0"/>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控制</w:t>
            </w:r>
          </w:p>
          <w:p>
            <w:pPr>
              <w:adjustRightInd w:val="0"/>
              <w:snapToGrid w:val="0"/>
              <w:jc w:val="center"/>
              <w:rPr>
                <w:rFonts w:hint="eastAsia" w:ascii="宋体" w:hAnsi="宋体" w:cs="宋体"/>
                <w:color w:val="auto"/>
                <w:kern w:val="0"/>
                <w:szCs w:val="21"/>
                <w:highlight w:val="none"/>
              </w:rPr>
            </w:pPr>
            <w:r>
              <w:rPr>
                <w:rFonts w:hint="eastAsia" w:ascii="宋体" w:hAnsi="宋体" w:cs="宋体"/>
                <w:color w:val="auto"/>
                <w:kern w:val="0"/>
                <w:sz w:val="24"/>
                <w:highlight w:val="none"/>
              </w:rPr>
              <w:t>指标</w:t>
            </w:r>
          </w:p>
        </w:tc>
        <w:tc>
          <w:tcPr>
            <w:tcW w:w="4562"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3.4总量控制指标</w:t>
            </w:r>
          </w:p>
          <w:p>
            <w:pPr>
              <w:pStyle w:val="54"/>
              <w:ind w:firstLine="480"/>
              <w:rPr>
                <w:rFonts w:ascii="Times New Roman" w:hAnsi="Times New Roman" w:cs="Times New Roman"/>
                <w:color w:val="auto"/>
                <w:highlight w:val="none"/>
              </w:rPr>
            </w:pPr>
            <w:r>
              <w:rPr>
                <w:rFonts w:hint="eastAsia" w:ascii="Times New Roman" w:hAnsi="Times New Roman" w:cs="Times New Roman"/>
                <w:color w:val="auto"/>
                <w:highlight w:val="none"/>
              </w:rPr>
              <w:t>根据国家“十四五”期间污染物总量控制要求及《福建省“十四五”生态环境保护规划》《福建省人民政府关于推进排污权有偿使用和交易工作的意见(试行)》（闽政〔2014〕24号）《福建省环保厅关于贯彻落实&lt;推进排污权有偿使用和交易工作的意见（试行）&gt;的通知》（闽环发〔2014〕9号）《福建省环保厅关于环评审批中落实排污权交易工作要求的通知》（闽环保评〔2014〕43号）等有关文件要求，需进行排放总量控制的污染物为CODcr、NH</w:t>
            </w:r>
            <w:r>
              <w:rPr>
                <w:rFonts w:hint="eastAsia" w:ascii="Times New Roman" w:hAnsi="Times New Roman" w:cs="Times New Roman"/>
                <w:color w:val="auto"/>
                <w:highlight w:val="none"/>
                <w:vertAlign w:val="subscript"/>
              </w:rPr>
              <w:t>3</w:t>
            </w:r>
            <w:r>
              <w:rPr>
                <w:rFonts w:hint="eastAsia" w:ascii="Times New Roman" w:hAnsi="Times New Roman" w:cs="Times New Roman"/>
                <w:color w:val="auto"/>
                <w:highlight w:val="none"/>
              </w:rPr>
              <w:t>-N、SO</w:t>
            </w:r>
            <w:r>
              <w:rPr>
                <w:rFonts w:hint="eastAsia" w:ascii="Times New Roman" w:hAnsi="Times New Roman" w:cs="Times New Roman"/>
                <w:color w:val="auto"/>
                <w:highlight w:val="none"/>
                <w:vertAlign w:val="subscript"/>
              </w:rPr>
              <w:t>2</w:t>
            </w:r>
            <w:r>
              <w:rPr>
                <w:rFonts w:hint="eastAsia" w:ascii="Times New Roman" w:hAnsi="Times New Roman" w:cs="Times New Roman"/>
                <w:color w:val="auto"/>
                <w:highlight w:val="none"/>
              </w:rPr>
              <w:t>、NO</w:t>
            </w:r>
            <w:r>
              <w:rPr>
                <w:rFonts w:hint="eastAsia" w:ascii="Times New Roman" w:hAnsi="Times New Roman" w:cs="Times New Roman"/>
                <w:color w:val="auto"/>
                <w:highlight w:val="none"/>
                <w:vertAlign w:val="subscript"/>
              </w:rPr>
              <w:t>X</w:t>
            </w:r>
            <w:r>
              <w:rPr>
                <w:rFonts w:hint="eastAsia" w:ascii="Times New Roman" w:hAnsi="Times New Roman" w:cs="Times New Roman"/>
                <w:color w:val="auto"/>
                <w:highlight w:val="none"/>
              </w:rPr>
              <w:t>。</w:t>
            </w:r>
          </w:p>
          <w:p>
            <w:pPr>
              <w:pStyle w:val="29"/>
              <w:ind w:firstLine="480" w:firstLineChars="200"/>
              <w:jc w:val="both"/>
              <w:rPr>
                <w:rFonts w:eastAsia="宋体"/>
                <w:b w:val="0"/>
                <w:bCs w:val="0"/>
                <w:color w:val="auto"/>
                <w:sz w:val="24"/>
                <w:szCs w:val="24"/>
                <w:highlight w:val="none"/>
              </w:rPr>
            </w:pPr>
            <w:r>
              <w:rPr>
                <w:rFonts w:hint="eastAsia" w:eastAsia="宋体"/>
                <w:b w:val="0"/>
                <w:bCs w:val="0"/>
                <w:color w:val="auto"/>
                <w:sz w:val="24"/>
                <w:szCs w:val="24"/>
                <w:highlight w:val="none"/>
              </w:rPr>
              <w:t>本项目不涉及SO</w:t>
            </w:r>
            <w:r>
              <w:rPr>
                <w:rFonts w:hint="eastAsia" w:eastAsia="宋体"/>
                <w:b w:val="0"/>
                <w:bCs w:val="0"/>
                <w:color w:val="auto"/>
                <w:sz w:val="24"/>
                <w:szCs w:val="24"/>
                <w:highlight w:val="none"/>
                <w:vertAlign w:val="subscript"/>
              </w:rPr>
              <w:t>2</w:t>
            </w:r>
            <w:r>
              <w:rPr>
                <w:rFonts w:hint="eastAsia" w:eastAsia="宋体"/>
                <w:b w:val="0"/>
                <w:bCs w:val="0"/>
                <w:color w:val="auto"/>
                <w:sz w:val="24"/>
                <w:szCs w:val="24"/>
                <w:highlight w:val="none"/>
              </w:rPr>
              <w:t>、NO</w:t>
            </w:r>
            <w:r>
              <w:rPr>
                <w:rFonts w:hint="eastAsia" w:eastAsia="宋体"/>
                <w:b w:val="0"/>
                <w:bCs w:val="0"/>
                <w:color w:val="auto"/>
                <w:sz w:val="24"/>
                <w:szCs w:val="24"/>
                <w:highlight w:val="none"/>
                <w:vertAlign w:val="subscript"/>
              </w:rPr>
              <w:t>X</w:t>
            </w:r>
            <w:r>
              <w:rPr>
                <w:rFonts w:hint="eastAsia" w:eastAsia="宋体"/>
                <w:b w:val="0"/>
                <w:bCs w:val="0"/>
                <w:color w:val="auto"/>
                <w:sz w:val="24"/>
                <w:szCs w:val="24"/>
                <w:highlight w:val="none"/>
              </w:rPr>
              <w:t>排放。生产废水不排放；生活污水经市政污水管网纳入漳湾临港工业区临时一体化污水处理厂处理。因此本项目无需申请总量控制指标。</w:t>
            </w:r>
          </w:p>
          <w:p>
            <w:pPr>
              <w:pStyle w:val="29"/>
              <w:ind w:firstLine="480" w:firstLineChars="200"/>
              <w:jc w:val="both"/>
              <w:rPr>
                <w:rFonts w:eastAsia="宋体"/>
                <w:b w:val="0"/>
                <w:bCs w:val="0"/>
                <w:color w:val="auto"/>
                <w:sz w:val="24"/>
                <w:szCs w:val="24"/>
                <w:highlight w:val="none"/>
              </w:rPr>
            </w:pPr>
          </w:p>
          <w:p>
            <w:pPr>
              <w:pStyle w:val="29"/>
              <w:ind w:firstLine="0" w:firstLineChars="0"/>
              <w:jc w:val="both"/>
              <w:rPr>
                <w:rFonts w:eastAsia="宋体"/>
                <w:b w:val="0"/>
                <w:bCs w:val="0"/>
                <w:color w:val="auto"/>
                <w:sz w:val="24"/>
                <w:szCs w:val="24"/>
                <w:highlight w:val="none"/>
              </w:rPr>
            </w:pPr>
          </w:p>
          <w:p>
            <w:pPr>
              <w:pStyle w:val="29"/>
              <w:ind w:firstLine="480" w:firstLineChars="200"/>
              <w:jc w:val="both"/>
              <w:rPr>
                <w:rFonts w:eastAsia="宋体"/>
                <w:b w:val="0"/>
                <w:bCs w:val="0"/>
                <w:color w:val="auto"/>
                <w:sz w:val="24"/>
                <w:szCs w:val="24"/>
                <w:highlight w:val="none"/>
              </w:rPr>
            </w:pPr>
          </w:p>
          <w:p>
            <w:pPr>
              <w:pStyle w:val="29"/>
              <w:ind w:firstLine="480" w:firstLineChars="200"/>
              <w:jc w:val="both"/>
              <w:rPr>
                <w:rFonts w:eastAsia="宋体"/>
                <w:b w:val="0"/>
                <w:bCs w:val="0"/>
                <w:color w:val="auto"/>
                <w:sz w:val="24"/>
                <w:szCs w:val="24"/>
                <w:highlight w:val="none"/>
              </w:rPr>
            </w:pPr>
          </w:p>
          <w:p>
            <w:pPr>
              <w:pStyle w:val="29"/>
              <w:ind w:firstLine="480" w:firstLineChars="200"/>
              <w:jc w:val="both"/>
              <w:rPr>
                <w:rFonts w:eastAsia="宋体"/>
                <w:b w:val="0"/>
                <w:bCs w:val="0"/>
                <w:color w:val="auto"/>
                <w:sz w:val="24"/>
                <w:szCs w:val="24"/>
                <w:highlight w:val="none"/>
              </w:rPr>
            </w:pPr>
          </w:p>
          <w:p>
            <w:pPr>
              <w:pStyle w:val="29"/>
              <w:ind w:firstLine="480" w:firstLineChars="200"/>
              <w:jc w:val="both"/>
              <w:rPr>
                <w:rFonts w:eastAsia="宋体"/>
                <w:b w:val="0"/>
                <w:bCs w:val="0"/>
                <w:color w:val="auto"/>
                <w:sz w:val="24"/>
                <w:szCs w:val="24"/>
                <w:highlight w:val="none"/>
              </w:rPr>
            </w:pPr>
          </w:p>
          <w:p>
            <w:pPr>
              <w:pStyle w:val="29"/>
              <w:ind w:firstLine="480" w:firstLineChars="200"/>
              <w:jc w:val="both"/>
              <w:rPr>
                <w:rFonts w:eastAsia="宋体"/>
                <w:b w:val="0"/>
                <w:bCs w:val="0"/>
                <w:color w:val="auto"/>
                <w:sz w:val="24"/>
                <w:szCs w:val="24"/>
                <w:highlight w:val="none"/>
              </w:rPr>
            </w:pPr>
          </w:p>
        </w:tc>
      </w:tr>
    </w:tbl>
    <w:p>
      <w:pPr>
        <w:pStyle w:val="16"/>
        <w:jc w:val="center"/>
        <w:outlineLvl w:val="0"/>
        <w:rPr>
          <w:rFonts w:hint="eastAsia" w:ascii="黑体" w:hAnsi="黑体" w:eastAsia="黑体"/>
          <w:snapToGrid w:val="0"/>
          <w:color w:val="auto"/>
          <w:sz w:val="30"/>
          <w:szCs w:val="30"/>
          <w:highlight w:val="none"/>
        </w:rPr>
        <w:sectPr>
          <w:pgSz w:w="11906" w:h="16838"/>
          <w:pgMar w:top="1417" w:right="1304" w:bottom="1304" w:left="1304" w:header="851" w:footer="992" w:gutter="0"/>
          <w:cols w:space="425" w:num="1"/>
          <w:docGrid w:type="lines" w:linePitch="312" w:charSpace="0"/>
        </w:sectPr>
      </w:pPr>
      <w:bookmarkStart w:id="11" w:name="_Toc21844"/>
    </w:p>
    <w:p>
      <w:pPr>
        <w:pStyle w:val="16"/>
        <w:jc w:val="center"/>
        <w:outlineLvl w:val="0"/>
        <w:rPr>
          <w:rFonts w:hint="eastAsia" w:ascii="黑体" w:hAnsi="黑体" w:eastAsia="黑体"/>
          <w:snapToGrid w:val="0"/>
          <w:color w:val="auto"/>
          <w:sz w:val="30"/>
          <w:szCs w:val="30"/>
          <w:highlight w:val="none"/>
        </w:rPr>
      </w:pPr>
      <w:bookmarkStart w:id="12" w:name="_Toc9092"/>
      <w:r>
        <w:rPr>
          <w:rFonts w:hint="eastAsia" w:ascii="黑体" w:hAnsi="黑体" w:eastAsia="黑体"/>
          <w:snapToGrid w:val="0"/>
          <w:color w:val="auto"/>
          <w:sz w:val="30"/>
          <w:szCs w:val="30"/>
          <w:highlight w:val="none"/>
        </w:rPr>
        <w:t>四、主要环境影响和保护措施</w:t>
      </w:r>
      <w:bookmarkEnd w:id="11"/>
      <w:bookmarkEnd w:id="12"/>
    </w:p>
    <w:tbl>
      <w:tblPr>
        <w:tblStyle w:val="20"/>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8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420" w:type="pct"/>
            <w:tcMar>
              <w:left w:w="28" w:type="dxa"/>
              <w:right w:w="28" w:type="dxa"/>
            </w:tcMar>
            <w:vAlign w:val="center"/>
          </w:tcPr>
          <w:p>
            <w:pPr>
              <w:pStyle w:val="16"/>
              <w:adjustRightInd w:val="0"/>
              <w:snapToGrid w:val="0"/>
              <w:spacing w:before="0" w:beforeAutospacing="0" w:after="0" w:afterAutospacing="0"/>
              <w:jc w:val="center"/>
              <w:rPr>
                <w:rFonts w:hint="eastAsia" w:cs="宋体"/>
                <w:color w:val="auto"/>
                <w:kern w:val="2"/>
                <w:sz w:val="21"/>
                <w:szCs w:val="21"/>
                <w:highlight w:val="none"/>
              </w:rPr>
            </w:pPr>
            <w:bookmarkStart w:id="13" w:name="_Toc31791"/>
            <w:r>
              <w:rPr>
                <w:rFonts w:hint="eastAsia" w:cs="宋体"/>
                <w:color w:val="auto"/>
                <w:kern w:val="2"/>
                <w:sz w:val="21"/>
                <w:szCs w:val="21"/>
                <w:highlight w:val="none"/>
              </w:rPr>
              <w:t>施工</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境保</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护措</w:t>
            </w:r>
          </w:p>
          <w:p>
            <w:pPr>
              <w:pStyle w:val="16"/>
              <w:adjustRightInd w:val="0"/>
              <w:snapToGrid w:val="0"/>
              <w:spacing w:before="0" w:beforeAutospacing="0" w:after="0" w:afterAutospacing="0"/>
              <w:jc w:val="center"/>
              <w:rPr>
                <w:rFonts w:hint="eastAsia" w:cs="宋体"/>
                <w:bCs/>
                <w:color w:val="auto"/>
                <w:kern w:val="2"/>
                <w:sz w:val="21"/>
                <w:szCs w:val="21"/>
                <w:highlight w:val="none"/>
              </w:rPr>
            </w:pPr>
            <w:r>
              <w:rPr>
                <w:rFonts w:hint="eastAsia" w:cs="宋体"/>
                <w:color w:val="auto"/>
                <w:kern w:val="2"/>
                <w:sz w:val="21"/>
                <w:szCs w:val="21"/>
                <w:highlight w:val="none"/>
              </w:rPr>
              <w:t>施</w:t>
            </w:r>
          </w:p>
        </w:tc>
        <w:tc>
          <w:tcPr>
            <w:tcW w:w="4579"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4.1施工期环境保护措施</w:t>
            </w:r>
          </w:p>
          <w:p>
            <w:pPr>
              <w:pStyle w:val="32"/>
              <w:ind w:firstLine="480"/>
              <w:rPr>
                <w:color w:val="auto"/>
                <w:highlight w:val="none"/>
              </w:rPr>
            </w:pPr>
            <w:r>
              <w:rPr>
                <w:rFonts w:hint="eastAsia"/>
                <w:color w:val="auto"/>
                <w:highlight w:val="none"/>
              </w:rPr>
              <w:t>本项目租用宁德保税物流中心</w:t>
            </w:r>
            <w:r>
              <w:rPr>
                <w:rFonts w:hint="eastAsia"/>
                <w:color w:val="auto"/>
                <w:highlight w:val="none"/>
                <w:lang w:val="en-US" w:eastAsia="zh-CN"/>
              </w:rPr>
              <w:t>内用地进行建设</w:t>
            </w:r>
            <w:r>
              <w:rPr>
                <w:rFonts w:hint="eastAsia"/>
                <w:color w:val="auto"/>
                <w:highlight w:val="none"/>
              </w:rPr>
              <w:t>。项目施工期影响主要来自主要为</w:t>
            </w:r>
            <w:r>
              <w:rPr>
                <w:rFonts w:hint="eastAsia"/>
                <w:color w:val="auto"/>
                <w:highlight w:val="none"/>
                <w:lang w:val="en-US" w:eastAsia="zh-CN"/>
              </w:rPr>
              <w:t>卸矿站、混矿库、</w:t>
            </w:r>
            <w:r>
              <w:rPr>
                <w:rFonts w:hint="eastAsia"/>
                <w:color w:val="auto"/>
                <w:highlight w:val="none"/>
              </w:rPr>
              <w:t>一般固废暂存间、危废暂存间、初期雨水池、输送线基础施工、设备安装、调试、环保设施建设产生的环境问题，本项目施工内容建设简单，且时间较短，随着建设完毕后，项目施工期也将结束，施工期环境影响也随着消失，不会对周边环境产生影响。</w:t>
            </w:r>
          </w:p>
          <w:p>
            <w:pPr>
              <w:pStyle w:val="29"/>
              <w:tabs>
                <w:tab w:val="left" w:pos="644"/>
              </w:tabs>
              <w:rPr>
                <w:color w:val="auto"/>
                <w:highlight w:val="none"/>
              </w:rPr>
            </w:pPr>
            <w:r>
              <w:rPr>
                <w:rFonts w:hint="eastAsia"/>
                <w:color w:val="auto"/>
                <w:highlight w:val="none"/>
              </w:rPr>
              <w:t>4.1.1施工期大气环境影响分析及保护措施</w:t>
            </w:r>
          </w:p>
          <w:p>
            <w:pPr>
              <w:pStyle w:val="6"/>
              <w:rPr>
                <w:rFonts w:eastAsia="黑体"/>
                <w:color w:val="auto"/>
                <w:sz w:val="24"/>
                <w:szCs w:val="36"/>
                <w:highlight w:val="none"/>
              </w:rPr>
            </w:pPr>
            <w:r>
              <w:rPr>
                <w:rFonts w:eastAsia="黑体"/>
                <w:color w:val="auto"/>
                <w:sz w:val="24"/>
                <w:szCs w:val="36"/>
                <w:highlight w:val="none"/>
              </w:rPr>
              <w:t>4.1.1.1施工期大气环境影响分析</w:t>
            </w:r>
          </w:p>
          <w:p>
            <w:pPr>
              <w:pStyle w:val="32"/>
              <w:ind w:firstLine="480"/>
              <w:rPr>
                <w:color w:val="auto"/>
                <w:highlight w:val="none"/>
                <w:lang w:val="en-GB"/>
              </w:rPr>
            </w:pPr>
            <w:r>
              <w:rPr>
                <w:rFonts w:hint="eastAsia"/>
                <w:color w:val="auto"/>
                <w:highlight w:val="none"/>
                <w:lang w:val="en-GB"/>
              </w:rPr>
              <w:t>（</w:t>
            </w:r>
            <w:r>
              <w:rPr>
                <w:color w:val="auto"/>
                <w:highlight w:val="none"/>
                <w:lang w:val="en-GB"/>
              </w:rPr>
              <w:t>1</w:t>
            </w:r>
            <w:r>
              <w:rPr>
                <w:rFonts w:hint="eastAsia"/>
                <w:color w:val="auto"/>
                <w:highlight w:val="none"/>
                <w:lang w:val="en-GB"/>
              </w:rPr>
              <w:t>）</w:t>
            </w:r>
            <w:r>
              <w:rPr>
                <w:color w:val="auto"/>
                <w:highlight w:val="none"/>
              </w:rPr>
              <w:t>施工扬尘影响分析</w:t>
            </w:r>
          </w:p>
          <w:p>
            <w:pPr>
              <w:pStyle w:val="32"/>
              <w:ind w:firstLine="480"/>
              <w:rPr>
                <w:color w:val="auto"/>
                <w:highlight w:val="none"/>
              </w:rPr>
            </w:pPr>
            <w:r>
              <w:rPr>
                <w:color w:val="auto"/>
                <w:highlight w:val="none"/>
              </w:rPr>
              <w:t>施工场地粉尘主要来源于场地平整、运输车辆和施工机械等各种施工作业过程中产生的扬尘和逸散尘，其中扬尘以运输车辆行驶扬尘为主，占60%以上。施工场地粉尘可使周围空气中TSP浓度明显升高的影响范围一般为50～100m。</w:t>
            </w:r>
          </w:p>
          <w:p>
            <w:pPr>
              <w:pStyle w:val="32"/>
              <w:ind w:firstLine="480"/>
              <w:rPr>
                <w:color w:val="auto"/>
                <w:highlight w:val="none"/>
              </w:rPr>
            </w:pPr>
            <w:r>
              <w:rPr>
                <w:rFonts w:hint="eastAsia"/>
                <w:color w:val="auto"/>
                <w:highlight w:val="none"/>
                <w:lang w:val="en-GB"/>
              </w:rPr>
              <w:t>（</w:t>
            </w:r>
            <w:r>
              <w:rPr>
                <w:rFonts w:hint="eastAsia"/>
                <w:color w:val="auto"/>
                <w:highlight w:val="none"/>
              </w:rPr>
              <w:t>2</w:t>
            </w:r>
            <w:r>
              <w:rPr>
                <w:rFonts w:hint="eastAsia"/>
                <w:color w:val="auto"/>
                <w:highlight w:val="none"/>
                <w:lang w:val="en-GB"/>
              </w:rPr>
              <w:t>）</w:t>
            </w:r>
            <w:r>
              <w:rPr>
                <w:color w:val="auto"/>
                <w:highlight w:val="none"/>
              </w:rPr>
              <w:t>车辆设备尾气</w:t>
            </w:r>
          </w:p>
          <w:p>
            <w:pPr>
              <w:pStyle w:val="32"/>
              <w:ind w:firstLine="480"/>
              <w:rPr>
                <w:color w:val="auto"/>
                <w:kern w:val="28"/>
                <w:highlight w:val="none"/>
              </w:rPr>
            </w:pPr>
            <w:r>
              <w:rPr>
                <w:color w:val="auto"/>
                <w:highlight w:val="none"/>
              </w:rPr>
              <w:t>施工过程中所需要的各类推土机、运输车等，这些车辆设备基本以柴油为燃料，所排放的发动机尾气中主要含烟尘、烃类、CO等空气污染物。其中，烟尘浓度60</w:t>
            </w:r>
            <w:r>
              <w:rPr>
                <w:rFonts w:hint="eastAsia"/>
                <w:color w:val="auto"/>
                <w:highlight w:val="none"/>
              </w:rPr>
              <w:t>~</w:t>
            </w:r>
            <w:r>
              <w:rPr>
                <w:color w:val="auto"/>
                <w:highlight w:val="none"/>
              </w:rPr>
              <w:t>80mg/m</w:t>
            </w:r>
            <w:r>
              <w:rPr>
                <w:color w:val="auto"/>
                <w:highlight w:val="none"/>
                <w:vertAlign w:val="superscript"/>
              </w:rPr>
              <w:t>3</w:t>
            </w:r>
            <w:r>
              <w:rPr>
                <w:color w:val="auto"/>
                <w:highlight w:val="none"/>
              </w:rPr>
              <w:t>，THC（总烃）浓度为80</w:t>
            </w:r>
            <w:r>
              <w:rPr>
                <w:rFonts w:hint="eastAsia"/>
                <w:color w:val="auto"/>
                <w:highlight w:val="none"/>
              </w:rPr>
              <w:t>~</w:t>
            </w:r>
            <w:r>
              <w:rPr>
                <w:color w:val="auto"/>
                <w:highlight w:val="none"/>
              </w:rPr>
              <w:t>100mg/m</w:t>
            </w:r>
            <w:r>
              <w:rPr>
                <w:color w:val="auto"/>
                <w:highlight w:val="none"/>
                <w:vertAlign w:val="superscript"/>
              </w:rPr>
              <w:t>3</w:t>
            </w:r>
            <w:r>
              <w:rPr>
                <w:color w:val="auto"/>
                <w:highlight w:val="none"/>
              </w:rPr>
              <w:t>。</w:t>
            </w:r>
          </w:p>
          <w:p>
            <w:pPr>
              <w:pStyle w:val="6"/>
              <w:rPr>
                <w:rFonts w:eastAsia="黑体"/>
                <w:color w:val="auto"/>
                <w:sz w:val="24"/>
                <w:szCs w:val="36"/>
                <w:highlight w:val="none"/>
              </w:rPr>
            </w:pPr>
            <w:r>
              <w:rPr>
                <w:rFonts w:eastAsia="黑体"/>
                <w:color w:val="auto"/>
                <w:sz w:val="24"/>
                <w:szCs w:val="36"/>
                <w:highlight w:val="none"/>
              </w:rPr>
              <w:t>4.1.1.2施工期废气控制措施</w:t>
            </w:r>
          </w:p>
          <w:p>
            <w:pPr>
              <w:pStyle w:val="32"/>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w:t>
            </w:r>
            <w:r>
              <w:rPr>
                <w:color w:val="auto"/>
                <w:highlight w:val="none"/>
              </w:rPr>
              <w:t>防尘、抑尘对策措施</w:t>
            </w:r>
          </w:p>
          <w:p>
            <w:pPr>
              <w:pStyle w:val="32"/>
              <w:ind w:firstLine="480"/>
              <w:rPr>
                <w:color w:val="auto"/>
                <w:highlight w:val="none"/>
              </w:rPr>
            </w:pPr>
            <w:r>
              <w:rPr>
                <w:rFonts w:hint="eastAsia" w:ascii="宋体" w:hAnsi="宋体" w:cs="宋体"/>
                <w:color w:val="auto"/>
                <w:highlight w:val="none"/>
              </w:rPr>
              <w:t>①</w:t>
            </w:r>
            <w:r>
              <w:rPr>
                <w:color w:val="auto"/>
                <w:highlight w:val="none"/>
              </w:rPr>
              <w:t>场地平整、</w:t>
            </w:r>
            <w:r>
              <w:rPr>
                <w:rFonts w:hint="eastAsia"/>
                <w:color w:val="auto"/>
                <w:highlight w:val="none"/>
              </w:rPr>
              <w:t>生产设施</w:t>
            </w:r>
            <w:r>
              <w:rPr>
                <w:color w:val="auto"/>
                <w:highlight w:val="none"/>
              </w:rPr>
              <w:t>建设过程中产生的扬尘和逸散尘，施工场地周界应配置喷雾抑尘设施；</w:t>
            </w:r>
          </w:p>
          <w:p>
            <w:pPr>
              <w:pStyle w:val="32"/>
              <w:ind w:firstLine="480"/>
              <w:rPr>
                <w:color w:val="auto"/>
                <w:highlight w:val="none"/>
              </w:rPr>
            </w:pPr>
            <w:r>
              <w:rPr>
                <w:rFonts w:hint="eastAsia" w:ascii="宋体" w:hAnsi="宋体" w:cs="宋体"/>
                <w:color w:val="auto"/>
                <w:highlight w:val="none"/>
              </w:rPr>
              <w:t>②</w:t>
            </w:r>
            <w:r>
              <w:rPr>
                <w:color w:val="auto"/>
                <w:highlight w:val="none"/>
              </w:rPr>
              <w:t>施工过程中使用水泥、石灰、砂石、涂料、铺装材料等易产生扬尘的建筑材料，应采取如下措施之一：</w:t>
            </w:r>
            <w:r>
              <w:rPr>
                <w:rFonts w:hint="eastAsia"/>
                <w:color w:val="auto"/>
                <w:highlight w:val="none"/>
                <w:lang w:eastAsia="zh-CN"/>
              </w:rPr>
              <w:t>封闭</w:t>
            </w:r>
            <w:r>
              <w:rPr>
                <w:color w:val="auto"/>
                <w:highlight w:val="none"/>
              </w:rPr>
              <w:t>存储、设置围挡或堆砌围墙、采用防尘布、其他有效的防尘措施；</w:t>
            </w:r>
          </w:p>
          <w:p>
            <w:pPr>
              <w:pStyle w:val="32"/>
              <w:ind w:firstLine="480"/>
              <w:rPr>
                <w:color w:val="auto"/>
                <w:highlight w:val="none"/>
              </w:rPr>
            </w:pPr>
            <w:r>
              <w:rPr>
                <w:rFonts w:hint="eastAsia" w:ascii="宋体" w:hAnsi="宋体" w:cs="宋体"/>
                <w:color w:val="auto"/>
                <w:highlight w:val="none"/>
              </w:rPr>
              <w:t>③</w:t>
            </w:r>
            <w:r>
              <w:rPr>
                <w:color w:val="auto"/>
                <w:highlight w:val="none"/>
                <w:lang w:val="zh-CN"/>
              </w:rPr>
              <w:t>施工运送建筑</w:t>
            </w:r>
            <w:r>
              <w:rPr>
                <w:rFonts w:hint="eastAsia"/>
                <w:color w:val="auto"/>
                <w:highlight w:val="none"/>
                <w:lang w:val="zh-CN"/>
              </w:rPr>
              <w:t>砂石</w:t>
            </w:r>
            <w:r>
              <w:rPr>
                <w:color w:val="auto"/>
                <w:highlight w:val="none"/>
                <w:lang w:val="zh-CN"/>
              </w:rPr>
              <w:t>料时，装运车辆不得超载或装载太满，以防止土石料泄漏；在大风时，车辆应进行覆盖或喷淋处理，以免砂土在道路上洒落；对于无法及时清运的渣土要经常洒水。</w:t>
            </w:r>
          </w:p>
          <w:p>
            <w:pPr>
              <w:pStyle w:val="32"/>
              <w:ind w:firstLine="480"/>
              <w:rPr>
                <w:color w:val="auto"/>
                <w:highlight w:val="none"/>
              </w:rPr>
            </w:pPr>
            <w:r>
              <w:rPr>
                <w:rFonts w:hint="eastAsia"/>
                <w:color w:val="auto"/>
                <w:highlight w:val="none"/>
              </w:rPr>
              <w:t>（2）交通运输扬尘</w:t>
            </w:r>
          </w:p>
          <w:p>
            <w:pPr>
              <w:pStyle w:val="32"/>
              <w:ind w:firstLine="480"/>
              <w:rPr>
                <w:color w:val="auto"/>
                <w:highlight w:val="none"/>
              </w:rPr>
            </w:pPr>
            <w:r>
              <w:rPr>
                <w:rFonts w:hint="eastAsia"/>
                <w:color w:val="auto"/>
                <w:highlight w:val="none"/>
              </w:rPr>
              <w:t>限制运输车辆的行驶速度，保税物流中心内的行车速度不宜超过10km/h，运输道路定时洒水抑尘，对运输车辆轮胎进行冲洗等；进出保税物流中心的运输车辆，应按照批准的路线和时间进行运输，减少运输扬尘对沿线居民的影响。</w:t>
            </w:r>
          </w:p>
          <w:p>
            <w:pPr>
              <w:pStyle w:val="32"/>
              <w:ind w:firstLine="480"/>
              <w:rPr>
                <w:color w:val="auto"/>
                <w:highlight w:val="none"/>
              </w:rPr>
            </w:pPr>
            <w:r>
              <w:rPr>
                <w:rFonts w:hint="eastAsia"/>
                <w:color w:val="auto"/>
                <w:highlight w:val="none"/>
              </w:rPr>
              <w:t>（3）施工机械、车辆排放的尾气</w:t>
            </w:r>
          </w:p>
          <w:p>
            <w:pPr>
              <w:pStyle w:val="32"/>
              <w:ind w:firstLine="480"/>
              <w:rPr>
                <w:color w:val="auto"/>
                <w:highlight w:val="none"/>
              </w:rPr>
            </w:pPr>
            <w:r>
              <w:rPr>
                <w:rFonts w:hint="eastAsia"/>
                <w:color w:val="auto"/>
                <w:highlight w:val="none"/>
              </w:rPr>
              <w:t>采用合格燃油，加强机械、车辆的维护保养，使机械、车辆处于良好工作状态，严禁使用报废车辆和淘汰设备；配合当地交通部门做好施工期间周围道路的交通组织，避免因施工而造成交通堵塞，减少因此而产生的怠速废气排放；进入施工现场的车辆性能必须符合《轻型汽车污染物排放限值及测量方法（中国第六阶段）》（GB 18352.6-2016）、《重型车用汽油发动机与汽车排气污染物排放限值及测量方法（中国Ⅲ、Ⅳ阶段）》（GB14762-2008）、《重型柴油车污染物排放限值及测量方法（中国第六阶段）》（GB17691－2018）等标准的要求。</w:t>
            </w:r>
          </w:p>
          <w:p>
            <w:pPr>
              <w:pStyle w:val="32"/>
              <w:ind w:firstLine="480"/>
              <w:rPr>
                <w:color w:val="auto"/>
                <w:highlight w:val="none"/>
              </w:rPr>
            </w:pPr>
            <w:r>
              <w:rPr>
                <w:rFonts w:hint="eastAsia"/>
                <w:color w:val="auto"/>
                <w:highlight w:val="none"/>
              </w:rPr>
              <w:t>通过采取以上措施，可减小施工废气对周边大气环境的影响，且在经济及技术上可行。</w:t>
            </w:r>
          </w:p>
          <w:p>
            <w:pPr>
              <w:pStyle w:val="29"/>
              <w:tabs>
                <w:tab w:val="left" w:pos="644"/>
              </w:tabs>
              <w:rPr>
                <w:color w:val="auto"/>
                <w:highlight w:val="none"/>
              </w:rPr>
            </w:pPr>
            <w:r>
              <w:rPr>
                <w:rFonts w:hint="eastAsia"/>
                <w:color w:val="auto"/>
                <w:highlight w:val="none"/>
              </w:rPr>
              <w:t>4.1.2施工期水环境影响和控制措施</w:t>
            </w:r>
          </w:p>
          <w:p>
            <w:pPr>
              <w:pStyle w:val="6"/>
              <w:rPr>
                <w:rFonts w:eastAsia="黑体"/>
                <w:color w:val="auto"/>
                <w:sz w:val="24"/>
                <w:szCs w:val="36"/>
                <w:highlight w:val="none"/>
                <w:lang w:val="en-GB"/>
              </w:rPr>
            </w:pPr>
            <w:r>
              <w:rPr>
                <w:rFonts w:eastAsia="黑体"/>
                <w:color w:val="auto"/>
                <w:sz w:val="24"/>
                <w:szCs w:val="36"/>
                <w:highlight w:val="none"/>
              </w:rPr>
              <w:t>4.1.2.1</w:t>
            </w:r>
            <w:r>
              <w:rPr>
                <w:rFonts w:eastAsia="黑体"/>
                <w:color w:val="auto"/>
                <w:sz w:val="24"/>
                <w:szCs w:val="36"/>
                <w:highlight w:val="none"/>
                <w:lang w:val="en-GB"/>
              </w:rPr>
              <w:t>施工期水环境影响分析</w:t>
            </w:r>
          </w:p>
          <w:p>
            <w:pPr>
              <w:pStyle w:val="32"/>
              <w:ind w:firstLine="480"/>
              <w:rPr>
                <w:color w:val="auto"/>
                <w:highlight w:val="none"/>
              </w:rPr>
            </w:pPr>
            <w:r>
              <w:rPr>
                <w:color w:val="auto"/>
                <w:highlight w:val="none"/>
              </w:rPr>
              <w:t>施工期水污染源来自施工营地的施工生产废水与施工生活污水，主要包括施工人员生活污水、施工泥浆水、</w:t>
            </w:r>
            <w:r>
              <w:rPr>
                <w:rFonts w:hint="eastAsia"/>
                <w:color w:val="auto"/>
                <w:highlight w:val="none"/>
              </w:rPr>
              <w:t>施工</w:t>
            </w:r>
            <w:r>
              <w:rPr>
                <w:color w:val="auto"/>
                <w:highlight w:val="none"/>
              </w:rPr>
              <w:t>车辆和机械设备洗涤水等。</w:t>
            </w:r>
          </w:p>
          <w:p>
            <w:pPr>
              <w:pStyle w:val="32"/>
              <w:ind w:firstLine="480"/>
              <w:rPr>
                <w:color w:val="auto"/>
                <w:highlight w:val="none"/>
              </w:rPr>
            </w:pPr>
            <w:r>
              <w:rPr>
                <w:color w:val="auto"/>
                <w:highlight w:val="none"/>
              </w:rPr>
              <w:t>（1）施工人员生活污水</w:t>
            </w:r>
          </w:p>
          <w:p>
            <w:pPr>
              <w:pStyle w:val="32"/>
              <w:ind w:firstLine="480"/>
              <w:rPr>
                <w:color w:val="auto"/>
                <w:highlight w:val="none"/>
              </w:rPr>
            </w:pPr>
            <w:r>
              <w:rPr>
                <w:color w:val="auto"/>
                <w:highlight w:val="none"/>
              </w:rPr>
              <w:t>本项目施工期生活污水主要含有COD、BOD</w:t>
            </w:r>
            <w:r>
              <w:rPr>
                <w:color w:val="auto"/>
                <w:highlight w:val="none"/>
                <w:vertAlign w:val="subscript"/>
              </w:rPr>
              <w:t>5</w:t>
            </w:r>
            <w:r>
              <w:rPr>
                <w:color w:val="auto"/>
                <w:highlight w:val="none"/>
              </w:rPr>
              <w:t>、SS、NH</w:t>
            </w:r>
            <w:r>
              <w:rPr>
                <w:color w:val="auto"/>
                <w:highlight w:val="none"/>
                <w:vertAlign w:val="subscript"/>
              </w:rPr>
              <w:t>3</w:t>
            </w:r>
            <w:r>
              <w:rPr>
                <w:color w:val="auto"/>
                <w:highlight w:val="none"/>
              </w:rPr>
              <w:t>-N和动植物油以及粪大肠菌群等污染物。本项目施工高峰时期施工人员需要大约</w:t>
            </w:r>
            <w:r>
              <w:rPr>
                <w:rFonts w:hint="eastAsia"/>
                <w:color w:val="auto"/>
                <w:highlight w:val="none"/>
              </w:rPr>
              <w:t>15</w:t>
            </w:r>
            <w:r>
              <w:rPr>
                <w:color w:val="auto"/>
                <w:highlight w:val="none"/>
              </w:rPr>
              <w:t>人。根据本项目所处地理位置、气候环境和生活条件等实际情况分析，施工人员人均生活用水量按100L/人·日计，排水系数取80%</w:t>
            </w:r>
            <w:r>
              <w:rPr>
                <w:rFonts w:hint="eastAsia"/>
                <w:color w:val="auto"/>
                <w:highlight w:val="none"/>
              </w:rPr>
              <w:t>，</w:t>
            </w:r>
            <w:r>
              <w:rPr>
                <w:color w:val="auto"/>
                <w:highlight w:val="none"/>
              </w:rPr>
              <w:t>施工期生活污水产生量约</w:t>
            </w:r>
            <w:r>
              <w:rPr>
                <w:rFonts w:hint="eastAsia"/>
                <w:color w:val="auto"/>
                <w:highlight w:val="none"/>
              </w:rPr>
              <w:t>1.2</w:t>
            </w:r>
            <w:r>
              <w:rPr>
                <w:color w:val="auto"/>
                <w:highlight w:val="none"/>
              </w:rPr>
              <w:t>t/d。</w:t>
            </w:r>
          </w:p>
          <w:p>
            <w:pPr>
              <w:pStyle w:val="32"/>
              <w:ind w:firstLine="480"/>
              <w:rPr>
                <w:color w:val="auto"/>
                <w:highlight w:val="none"/>
              </w:rPr>
            </w:pPr>
            <w:r>
              <w:rPr>
                <w:color w:val="auto"/>
                <w:highlight w:val="none"/>
              </w:rPr>
              <w:t>（2）施工生产废水</w:t>
            </w:r>
          </w:p>
          <w:p>
            <w:pPr>
              <w:pStyle w:val="32"/>
              <w:ind w:firstLine="480"/>
              <w:rPr>
                <w:color w:val="auto"/>
                <w:highlight w:val="none"/>
              </w:rPr>
            </w:pPr>
            <w:r>
              <w:rPr>
                <w:color w:val="auto"/>
                <w:highlight w:val="none"/>
              </w:rPr>
              <w:t>本项目施工期生产废水主要来自汽车机械设备冲洗含油废水以及施工营地泥浆水等。</w:t>
            </w:r>
          </w:p>
          <w:p>
            <w:pPr>
              <w:pStyle w:val="32"/>
              <w:ind w:firstLine="480"/>
              <w:rPr>
                <w:color w:val="auto"/>
                <w:highlight w:val="none"/>
              </w:rPr>
            </w:pPr>
            <w:r>
              <w:rPr>
                <w:color w:val="auto"/>
                <w:highlight w:val="none"/>
              </w:rPr>
              <w:t>施工高峰期运输车辆和机械设备包括挖掘机、自卸汽车以及各类车辆大约共有</w:t>
            </w:r>
            <w:r>
              <w:rPr>
                <w:rFonts w:hint="eastAsia"/>
                <w:color w:val="auto"/>
                <w:highlight w:val="none"/>
              </w:rPr>
              <w:t>5</w:t>
            </w:r>
            <w:r>
              <w:rPr>
                <w:color w:val="auto"/>
                <w:highlight w:val="none"/>
              </w:rPr>
              <w:t>辆（台）。施工营地设置的施工车辆冲洗点对</w:t>
            </w:r>
            <w:r>
              <w:rPr>
                <w:rFonts w:hint="eastAsia"/>
                <w:color w:val="auto"/>
                <w:highlight w:val="none"/>
              </w:rPr>
              <w:t>出场</w:t>
            </w:r>
            <w:r>
              <w:rPr>
                <w:color w:val="auto"/>
                <w:highlight w:val="none"/>
              </w:rPr>
              <w:t>车辆进行冲洗，主要集中在每日晚上进行1次。估计每次每辆（台）运输车辆和机械设备平均冲洗废水量约为0.3t，主要污染物是含有高浓度的泥沙和较高浓度的石油类物质。施工车辆和机械清洗废水主要含有泥土等悬浮物质（SS），冲洗点应设置简易的沉淀回用设施，对施工机械清洗废水沉淀后回用</w:t>
            </w:r>
            <w:r>
              <w:rPr>
                <w:rFonts w:hint="eastAsia"/>
                <w:color w:val="auto"/>
                <w:highlight w:val="none"/>
              </w:rPr>
              <w:t>于车辆、设备清洗，</w:t>
            </w:r>
            <w:r>
              <w:rPr>
                <w:color w:val="auto"/>
                <w:highlight w:val="none"/>
              </w:rPr>
              <w:t>避免泥浆水直接流入周边</w:t>
            </w:r>
            <w:r>
              <w:rPr>
                <w:rFonts w:hint="eastAsia"/>
                <w:color w:val="auto"/>
                <w:highlight w:val="none"/>
              </w:rPr>
              <w:t>水</w:t>
            </w:r>
            <w:r>
              <w:rPr>
                <w:color w:val="auto"/>
                <w:highlight w:val="none"/>
              </w:rPr>
              <w:t>域，影响</w:t>
            </w:r>
            <w:r>
              <w:rPr>
                <w:rFonts w:hint="eastAsia"/>
                <w:color w:val="auto"/>
                <w:highlight w:val="none"/>
              </w:rPr>
              <w:t>地表</w:t>
            </w:r>
            <w:r>
              <w:rPr>
                <w:color w:val="auto"/>
                <w:highlight w:val="none"/>
              </w:rPr>
              <w:t>水环境。</w:t>
            </w:r>
          </w:p>
          <w:p>
            <w:pPr>
              <w:pStyle w:val="6"/>
              <w:rPr>
                <w:rFonts w:eastAsia="黑体"/>
                <w:color w:val="auto"/>
                <w:sz w:val="24"/>
                <w:szCs w:val="36"/>
                <w:highlight w:val="none"/>
                <w:lang w:val="en-GB"/>
              </w:rPr>
            </w:pPr>
            <w:r>
              <w:rPr>
                <w:rFonts w:eastAsia="黑体"/>
                <w:color w:val="auto"/>
                <w:sz w:val="24"/>
                <w:szCs w:val="36"/>
                <w:highlight w:val="none"/>
              </w:rPr>
              <w:t>4.1.2.2</w:t>
            </w:r>
            <w:r>
              <w:rPr>
                <w:rFonts w:eastAsia="黑体"/>
                <w:color w:val="auto"/>
                <w:sz w:val="24"/>
                <w:szCs w:val="36"/>
                <w:highlight w:val="none"/>
                <w:lang w:val="en-GB"/>
              </w:rPr>
              <w:t>施工期废水控制措施</w:t>
            </w:r>
          </w:p>
          <w:p>
            <w:pPr>
              <w:pStyle w:val="32"/>
              <w:ind w:firstLine="480"/>
              <w:rPr>
                <w:color w:val="auto"/>
                <w:highlight w:val="none"/>
              </w:rPr>
            </w:pPr>
            <w:r>
              <w:rPr>
                <w:rFonts w:hint="eastAsia"/>
                <w:color w:val="auto"/>
                <w:highlight w:val="none"/>
              </w:rPr>
              <w:t>（1）施工生活污水</w:t>
            </w:r>
          </w:p>
          <w:p>
            <w:pPr>
              <w:pStyle w:val="32"/>
              <w:ind w:firstLine="480"/>
              <w:rPr>
                <w:color w:val="auto"/>
                <w:highlight w:val="none"/>
              </w:rPr>
            </w:pPr>
            <w:r>
              <w:rPr>
                <w:rFonts w:hint="eastAsia"/>
                <w:color w:val="auto"/>
                <w:highlight w:val="none"/>
              </w:rPr>
              <w:t>施工期主要来自施工人员的生活污水，生活污水经市政污水管网纳入漳湾临港工业区临时一体化污水处理厂处理，对周边水环境影响较小。</w:t>
            </w:r>
          </w:p>
          <w:p>
            <w:pPr>
              <w:pStyle w:val="32"/>
              <w:ind w:firstLine="480"/>
              <w:rPr>
                <w:color w:val="auto"/>
                <w:highlight w:val="none"/>
              </w:rPr>
            </w:pPr>
            <w:r>
              <w:rPr>
                <w:rFonts w:hint="eastAsia"/>
                <w:color w:val="auto"/>
                <w:highlight w:val="none"/>
              </w:rPr>
              <w:t>（2）施工机械、施工车辆清洗废水控制措施</w:t>
            </w:r>
          </w:p>
          <w:p>
            <w:pPr>
              <w:pStyle w:val="32"/>
              <w:ind w:firstLine="480"/>
              <w:rPr>
                <w:color w:val="auto"/>
                <w:highlight w:val="none"/>
              </w:rPr>
            </w:pPr>
            <w:r>
              <w:rPr>
                <w:rFonts w:hint="eastAsia"/>
                <w:color w:val="auto"/>
                <w:highlight w:val="none"/>
              </w:rPr>
              <w:t>a.减少清洗废水量措施：加强施工机械的清洗管理，尽量要求活动的施工机械以及施工车辆到附近专业车辆清洗处清洗，固定在现场的施工机械应采用湿抹布擦洗，尽量减少冲洗量，若在现场清洗，应建设简易的临时沉淀池进行处理后回用。</w:t>
            </w:r>
          </w:p>
          <w:p>
            <w:pPr>
              <w:pStyle w:val="32"/>
              <w:ind w:firstLine="480"/>
              <w:rPr>
                <w:color w:val="auto"/>
                <w:highlight w:val="none"/>
              </w:rPr>
            </w:pPr>
            <w:r>
              <w:rPr>
                <w:rFonts w:hint="eastAsia"/>
                <w:color w:val="auto"/>
                <w:highlight w:val="none"/>
              </w:rPr>
              <w:t>b.清洗废水处理措施：施工机械清洗废水主要含有泥土等悬浮物质（SS）和石油类物质，应设置简易的沉淀设施沉淀后回用，避免泥浆水直接流入周边水域，影响水域水质环境。</w:t>
            </w:r>
          </w:p>
          <w:p>
            <w:pPr>
              <w:pStyle w:val="32"/>
              <w:ind w:firstLine="480"/>
              <w:rPr>
                <w:color w:val="auto"/>
                <w:highlight w:val="none"/>
              </w:rPr>
            </w:pPr>
            <w:r>
              <w:rPr>
                <w:rFonts w:hint="eastAsia"/>
                <w:color w:val="auto"/>
                <w:highlight w:val="none"/>
              </w:rPr>
              <w:t>c.施工材料特别是机械燃料油料等的储存场所不宜设在海岸边，以防止泄漏或被暴雨冲刷进入水体而污染水质。</w:t>
            </w:r>
          </w:p>
          <w:p>
            <w:pPr>
              <w:pStyle w:val="29"/>
              <w:tabs>
                <w:tab w:val="left" w:pos="644"/>
              </w:tabs>
              <w:rPr>
                <w:color w:val="auto"/>
                <w:highlight w:val="none"/>
              </w:rPr>
            </w:pPr>
            <w:r>
              <w:rPr>
                <w:rFonts w:hint="eastAsia"/>
                <w:color w:val="auto"/>
                <w:highlight w:val="none"/>
              </w:rPr>
              <w:t>4.1.3施工期声环境影响和控制措施</w:t>
            </w:r>
          </w:p>
          <w:p>
            <w:pPr>
              <w:pStyle w:val="6"/>
              <w:rPr>
                <w:rFonts w:eastAsia="黑体"/>
                <w:color w:val="auto"/>
                <w:sz w:val="24"/>
                <w:szCs w:val="36"/>
                <w:highlight w:val="none"/>
              </w:rPr>
            </w:pPr>
            <w:r>
              <w:rPr>
                <w:rFonts w:eastAsia="黑体"/>
                <w:color w:val="auto"/>
                <w:sz w:val="24"/>
                <w:szCs w:val="36"/>
                <w:highlight w:val="none"/>
              </w:rPr>
              <w:t>4.1.3.1施工期噪声影响分析</w:t>
            </w:r>
          </w:p>
          <w:p>
            <w:pPr>
              <w:pStyle w:val="32"/>
              <w:ind w:firstLine="480"/>
              <w:rPr>
                <w:color w:val="auto"/>
                <w:highlight w:val="none"/>
              </w:rPr>
            </w:pPr>
            <w:r>
              <w:rPr>
                <w:color w:val="auto"/>
                <w:highlight w:val="none"/>
              </w:rPr>
              <w:t>在建筑施工中，本项目施工期噪声主要来自施工作业过程中使用的运输车辆和多种施工机械，主要</w:t>
            </w:r>
            <w:r>
              <w:rPr>
                <w:rFonts w:hint="eastAsia"/>
                <w:color w:val="auto"/>
                <w:highlight w:val="none"/>
              </w:rPr>
              <w:t>包括</w:t>
            </w:r>
            <w:r>
              <w:rPr>
                <w:color w:val="auto"/>
                <w:highlight w:val="none"/>
              </w:rPr>
              <w:t>：灌注桩钻机、挖掘机、混凝土搅拌机、振捣棒、运输车辆等。通过类比调查，施工期间的主要噪声源强见表4.1.1。</w:t>
            </w:r>
          </w:p>
          <w:p>
            <w:pPr>
              <w:pStyle w:val="33"/>
              <w:rPr>
                <w:color w:val="auto"/>
                <w:highlight w:val="none"/>
              </w:rPr>
            </w:pPr>
            <w:r>
              <w:rPr>
                <w:color w:val="auto"/>
                <w:highlight w:val="none"/>
              </w:rPr>
              <w:t>表4.1.1  典型施工设备噪声声级</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867"/>
              <w:gridCol w:w="715"/>
              <w:gridCol w:w="1563"/>
              <w:gridCol w:w="1725"/>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声源名称</w:t>
                  </w:r>
                </w:p>
              </w:tc>
              <w:tc>
                <w:tcPr>
                  <w:tcW w:w="502" w:type="pct"/>
                  <w:vAlign w:val="center"/>
                </w:tcPr>
                <w:p>
                  <w:pPr>
                    <w:pStyle w:val="35"/>
                    <w:rPr>
                      <w:color w:val="auto"/>
                      <w:highlight w:val="none"/>
                    </w:rPr>
                  </w:pPr>
                  <w:r>
                    <w:rPr>
                      <w:color w:val="auto"/>
                      <w:highlight w:val="none"/>
                    </w:rPr>
                    <w:t>单位</w:t>
                  </w:r>
                </w:p>
              </w:tc>
              <w:tc>
                <w:tcPr>
                  <w:tcW w:w="414" w:type="pct"/>
                  <w:vAlign w:val="center"/>
                </w:tcPr>
                <w:p>
                  <w:pPr>
                    <w:pStyle w:val="35"/>
                    <w:rPr>
                      <w:color w:val="auto"/>
                      <w:highlight w:val="none"/>
                    </w:rPr>
                  </w:pPr>
                  <w:r>
                    <w:rPr>
                      <w:color w:val="auto"/>
                      <w:highlight w:val="none"/>
                    </w:rPr>
                    <w:t>数量</w:t>
                  </w:r>
                </w:p>
              </w:tc>
              <w:tc>
                <w:tcPr>
                  <w:tcW w:w="905" w:type="pct"/>
                  <w:vAlign w:val="center"/>
                </w:tcPr>
                <w:p>
                  <w:pPr>
                    <w:pStyle w:val="35"/>
                    <w:rPr>
                      <w:color w:val="auto"/>
                      <w:highlight w:val="none"/>
                    </w:rPr>
                  </w:pPr>
                  <w:r>
                    <w:rPr>
                      <w:color w:val="auto"/>
                      <w:highlight w:val="none"/>
                    </w:rPr>
                    <w:t>源强dB（A）</w:t>
                  </w:r>
                </w:p>
              </w:tc>
              <w:tc>
                <w:tcPr>
                  <w:tcW w:w="999" w:type="pct"/>
                  <w:vAlign w:val="center"/>
                </w:tcPr>
                <w:p>
                  <w:pPr>
                    <w:pStyle w:val="35"/>
                    <w:rPr>
                      <w:color w:val="auto"/>
                      <w:highlight w:val="none"/>
                    </w:rPr>
                  </w:pPr>
                  <w:r>
                    <w:rPr>
                      <w:color w:val="auto"/>
                      <w:highlight w:val="none"/>
                    </w:rPr>
                    <w:t>测量距离（m）</w:t>
                  </w:r>
                </w:p>
              </w:tc>
              <w:tc>
                <w:tcPr>
                  <w:tcW w:w="1128" w:type="pct"/>
                  <w:vAlign w:val="center"/>
                </w:tcPr>
                <w:p>
                  <w:pPr>
                    <w:pStyle w:val="35"/>
                    <w:rPr>
                      <w:color w:val="auto"/>
                      <w:highlight w:val="none"/>
                    </w:rPr>
                  </w:pPr>
                  <w:r>
                    <w:rPr>
                      <w:color w:val="auto"/>
                      <w:highlight w:val="none"/>
                    </w:rPr>
                    <w:t>声源性质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灌注桩钻机</w:t>
                  </w:r>
                </w:p>
              </w:tc>
              <w:tc>
                <w:tcPr>
                  <w:tcW w:w="502" w:type="pct"/>
                  <w:vAlign w:val="center"/>
                </w:tcPr>
                <w:p>
                  <w:pPr>
                    <w:pStyle w:val="35"/>
                    <w:rPr>
                      <w:color w:val="auto"/>
                      <w:highlight w:val="none"/>
                    </w:rPr>
                  </w:pPr>
                  <w:r>
                    <w:rPr>
                      <w:color w:val="auto"/>
                      <w:highlight w:val="none"/>
                    </w:rPr>
                    <w:t>台</w:t>
                  </w:r>
                </w:p>
              </w:tc>
              <w:tc>
                <w:tcPr>
                  <w:tcW w:w="414" w:type="pct"/>
                  <w:vAlign w:val="center"/>
                </w:tcPr>
                <w:p>
                  <w:pPr>
                    <w:pStyle w:val="35"/>
                    <w:rPr>
                      <w:color w:val="auto"/>
                      <w:highlight w:val="none"/>
                    </w:rPr>
                  </w:pPr>
                  <w:r>
                    <w:rPr>
                      <w:color w:val="auto"/>
                      <w:highlight w:val="none"/>
                    </w:rPr>
                    <w:t>2</w:t>
                  </w:r>
                </w:p>
              </w:tc>
              <w:tc>
                <w:tcPr>
                  <w:tcW w:w="905" w:type="pct"/>
                  <w:vAlign w:val="center"/>
                </w:tcPr>
                <w:p>
                  <w:pPr>
                    <w:pStyle w:val="35"/>
                    <w:rPr>
                      <w:color w:val="auto"/>
                      <w:highlight w:val="none"/>
                    </w:rPr>
                  </w:pPr>
                  <w:r>
                    <w:rPr>
                      <w:color w:val="auto"/>
                      <w:highlight w:val="none"/>
                    </w:rPr>
                    <w:t>82</w:t>
                  </w:r>
                </w:p>
              </w:tc>
              <w:tc>
                <w:tcPr>
                  <w:tcW w:w="999" w:type="pct"/>
                  <w:vAlign w:val="center"/>
                </w:tcPr>
                <w:p>
                  <w:pPr>
                    <w:pStyle w:val="35"/>
                    <w:rPr>
                      <w:color w:val="auto"/>
                      <w:highlight w:val="none"/>
                    </w:rPr>
                  </w:pPr>
                  <w:r>
                    <w:rPr>
                      <w:color w:val="auto"/>
                      <w:highlight w:val="none"/>
                    </w:rPr>
                    <w:t>5</w:t>
                  </w:r>
                </w:p>
              </w:tc>
              <w:tc>
                <w:tcPr>
                  <w:tcW w:w="1128" w:type="pct"/>
                  <w:vAlign w:val="center"/>
                </w:tcPr>
                <w:p>
                  <w:pPr>
                    <w:pStyle w:val="35"/>
                    <w:rPr>
                      <w:color w:val="auto"/>
                      <w:highlight w:val="none"/>
                    </w:rPr>
                  </w:pPr>
                  <w:r>
                    <w:rPr>
                      <w:color w:val="auto"/>
                      <w:highlight w:val="none"/>
                    </w:rPr>
                    <w:t>短期内连续声源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挖掘机</w:t>
                  </w:r>
                </w:p>
              </w:tc>
              <w:tc>
                <w:tcPr>
                  <w:tcW w:w="502" w:type="pct"/>
                  <w:vAlign w:val="center"/>
                </w:tcPr>
                <w:p>
                  <w:pPr>
                    <w:pStyle w:val="35"/>
                    <w:rPr>
                      <w:color w:val="auto"/>
                      <w:highlight w:val="none"/>
                    </w:rPr>
                  </w:pPr>
                  <w:r>
                    <w:rPr>
                      <w:color w:val="auto"/>
                      <w:highlight w:val="none"/>
                    </w:rPr>
                    <w:t>台</w:t>
                  </w:r>
                </w:p>
              </w:tc>
              <w:tc>
                <w:tcPr>
                  <w:tcW w:w="414" w:type="pct"/>
                  <w:vAlign w:val="center"/>
                </w:tcPr>
                <w:p>
                  <w:pPr>
                    <w:pStyle w:val="35"/>
                    <w:rPr>
                      <w:color w:val="auto"/>
                      <w:highlight w:val="none"/>
                    </w:rPr>
                  </w:pPr>
                  <w:r>
                    <w:rPr>
                      <w:rFonts w:hint="eastAsia"/>
                      <w:color w:val="auto"/>
                      <w:highlight w:val="none"/>
                    </w:rPr>
                    <w:t>2</w:t>
                  </w:r>
                </w:p>
              </w:tc>
              <w:tc>
                <w:tcPr>
                  <w:tcW w:w="905" w:type="pct"/>
                  <w:vAlign w:val="center"/>
                </w:tcPr>
                <w:p>
                  <w:pPr>
                    <w:pStyle w:val="35"/>
                    <w:rPr>
                      <w:color w:val="auto"/>
                      <w:highlight w:val="none"/>
                    </w:rPr>
                  </w:pPr>
                  <w:r>
                    <w:rPr>
                      <w:color w:val="auto"/>
                      <w:highlight w:val="none"/>
                    </w:rPr>
                    <w:t>85</w:t>
                  </w:r>
                </w:p>
              </w:tc>
              <w:tc>
                <w:tcPr>
                  <w:tcW w:w="999" w:type="pct"/>
                  <w:vAlign w:val="center"/>
                </w:tcPr>
                <w:p>
                  <w:pPr>
                    <w:pStyle w:val="35"/>
                    <w:rPr>
                      <w:color w:val="auto"/>
                      <w:highlight w:val="none"/>
                    </w:rPr>
                  </w:pPr>
                  <w:r>
                    <w:rPr>
                      <w:color w:val="auto"/>
                      <w:highlight w:val="none"/>
                    </w:rPr>
                    <w:t>5</w:t>
                  </w:r>
                </w:p>
              </w:tc>
              <w:tc>
                <w:tcPr>
                  <w:tcW w:w="1128" w:type="pct"/>
                  <w:vAlign w:val="center"/>
                </w:tcPr>
                <w:p>
                  <w:pPr>
                    <w:pStyle w:val="35"/>
                    <w:rPr>
                      <w:color w:val="auto"/>
                      <w:highlight w:val="none"/>
                    </w:rPr>
                  </w:pPr>
                  <w:r>
                    <w:rPr>
                      <w:color w:val="auto"/>
                      <w:highlight w:val="none"/>
                    </w:rPr>
                    <w:t>短期内连续声源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混凝土搅拌</w:t>
                  </w:r>
                  <w:r>
                    <w:rPr>
                      <w:rFonts w:hint="eastAsia"/>
                      <w:color w:val="auto"/>
                      <w:highlight w:val="none"/>
                    </w:rPr>
                    <w:t>车</w:t>
                  </w:r>
                </w:p>
              </w:tc>
              <w:tc>
                <w:tcPr>
                  <w:tcW w:w="502" w:type="pct"/>
                  <w:vAlign w:val="center"/>
                </w:tcPr>
                <w:p>
                  <w:pPr>
                    <w:pStyle w:val="35"/>
                    <w:rPr>
                      <w:color w:val="auto"/>
                      <w:highlight w:val="none"/>
                    </w:rPr>
                  </w:pPr>
                  <w:r>
                    <w:rPr>
                      <w:color w:val="auto"/>
                      <w:highlight w:val="none"/>
                    </w:rPr>
                    <w:t>台</w:t>
                  </w:r>
                </w:p>
              </w:tc>
              <w:tc>
                <w:tcPr>
                  <w:tcW w:w="414" w:type="pct"/>
                  <w:vAlign w:val="center"/>
                </w:tcPr>
                <w:p>
                  <w:pPr>
                    <w:pStyle w:val="35"/>
                    <w:rPr>
                      <w:color w:val="auto"/>
                      <w:highlight w:val="none"/>
                    </w:rPr>
                  </w:pPr>
                  <w:r>
                    <w:rPr>
                      <w:rFonts w:hint="eastAsia"/>
                      <w:color w:val="auto"/>
                      <w:highlight w:val="none"/>
                    </w:rPr>
                    <w:t>2</w:t>
                  </w:r>
                </w:p>
              </w:tc>
              <w:tc>
                <w:tcPr>
                  <w:tcW w:w="905" w:type="pct"/>
                  <w:vAlign w:val="center"/>
                </w:tcPr>
                <w:p>
                  <w:pPr>
                    <w:pStyle w:val="35"/>
                    <w:rPr>
                      <w:color w:val="auto"/>
                      <w:highlight w:val="none"/>
                    </w:rPr>
                  </w:pPr>
                  <w:r>
                    <w:rPr>
                      <w:rFonts w:hint="eastAsia"/>
                      <w:color w:val="auto"/>
                      <w:highlight w:val="none"/>
                    </w:rPr>
                    <w:t>85</w:t>
                  </w:r>
                </w:p>
              </w:tc>
              <w:tc>
                <w:tcPr>
                  <w:tcW w:w="999" w:type="pct"/>
                  <w:vAlign w:val="center"/>
                </w:tcPr>
                <w:p>
                  <w:pPr>
                    <w:pStyle w:val="35"/>
                    <w:rPr>
                      <w:color w:val="auto"/>
                      <w:highlight w:val="none"/>
                    </w:rPr>
                  </w:pPr>
                  <w:r>
                    <w:rPr>
                      <w:color w:val="auto"/>
                      <w:highlight w:val="none"/>
                    </w:rPr>
                    <w:t>1</w:t>
                  </w:r>
                </w:p>
              </w:tc>
              <w:tc>
                <w:tcPr>
                  <w:tcW w:w="1128" w:type="pct"/>
                  <w:vAlign w:val="center"/>
                </w:tcPr>
                <w:p>
                  <w:pPr>
                    <w:pStyle w:val="35"/>
                    <w:rPr>
                      <w:color w:val="auto"/>
                      <w:highlight w:val="none"/>
                    </w:rPr>
                  </w:pPr>
                  <w:r>
                    <w:rPr>
                      <w:color w:val="auto"/>
                      <w:highlight w:val="none"/>
                    </w:rPr>
                    <w:t>短期内连续声源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振捣棒</w:t>
                  </w:r>
                </w:p>
              </w:tc>
              <w:tc>
                <w:tcPr>
                  <w:tcW w:w="502" w:type="pct"/>
                  <w:vAlign w:val="center"/>
                </w:tcPr>
                <w:p>
                  <w:pPr>
                    <w:pStyle w:val="35"/>
                    <w:rPr>
                      <w:color w:val="auto"/>
                      <w:highlight w:val="none"/>
                    </w:rPr>
                  </w:pPr>
                  <w:r>
                    <w:rPr>
                      <w:color w:val="auto"/>
                      <w:highlight w:val="none"/>
                    </w:rPr>
                    <w:t>个</w:t>
                  </w:r>
                </w:p>
              </w:tc>
              <w:tc>
                <w:tcPr>
                  <w:tcW w:w="414" w:type="pct"/>
                  <w:vAlign w:val="center"/>
                </w:tcPr>
                <w:p>
                  <w:pPr>
                    <w:pStyle w:val="35"/>
                    <w:rPr>
                      <w:color w:val="auto"/>
                      <w:highlight w:val="none"/>
                    </w:rPr>
                  </w:pPr>
                  <w:r>
                    <w:rPr>
                      <w:color w:val="auto"/>
                      <w:highlight w:val="none"/>
                    </w:rPr>
                    <w:t>10</w:t>
                  </w:r>
                </w:p>
              </w:tc>
              <w:tc>
                <w:tcPr>
                  <w:tcW w:w="905" w:type="pct"/>
                  <w:vAlign w:val="center"/>
                </w:tcPr>
                <w:p>
                  <w:pPr>
                    <w:pStyle w:val="35"/>
                    <w:rPr>
                      <w:color w:val="auto"/>
                      <w:highlight w:val="none"/>
                    </w:rPr>
                  </w:pPr>
                  <w:r>
                    <w:rPr>
                      <w:color w:val="auto"/>
                      <w:highlight w:val="none"/>
                    </w:rPr>
                    <w:t>95</w:t>
                  </w:r>
                </w:p>
              </w:tc>
              <w:tc>
                <w:tcPr>
                  <w:tcW w:w="999" w:type="pct"/>
                  <w:vAlign w:val="center"/>
                </w:tcPr>
                <w:p>
                  <w:pPr>
                    <w:pStyle w:val="35"/>
                    <w:rPr>
                      <w:color w:val="auto"/>
                      <w:highlight w:val="none"/>
                    </w:rPr>
                  </w:pPr>
                  <w:r>
                    <w:rPr>
                      <w:color w:val="auto"/>
                      <w:highlight w:val="none"/>
                    </w:rPr>
                    <w:t>1</w:t>
                  </w:r>
                </w:p>
              </w:tc>
              <w:tc>
                <w:tcPr>
                  <w:tcW w:w="1128" w:type="pct"/>
                  <w:vAlign w:val="center"/>
                </w:tcPr>
                <w:p>
                  <w:pPr>
                    <w:pStyle w:val="35"/>
                    <w:rPr>
                      <w:color w:val="auto"/>
                      <w:highlight w:val="none"/>
                    </w:rPr>
                  </w:pPr>
                  <w:r>
                    <w:rPr>
                      <w:color w:val="auto"/>
                      <w:highlight w:val="none"/>
                    </w:rPr>
                    <w:t>短期内连续声源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起重机</w:t>
                  </w:r>
                </w:p>
              </w:tc>
              <w:tc>
                <w:tcPr>
                  <w:tcW w:w="502" w:type="pct"/>
                  <w:vAlign w:val="center"/>
                </w:tcPr>
                <w:p>
                  <w:pPr>
                    <w:pStyle w:val="35"/>
                    <w:rPr>
                      <w:color w:val="auto"/>
                      <w:highlight w:val="none"/>
                    </w:rPr>
                  </w:pPr>
                  <w:r>
                    <w:rPr>
                      <w:color w:val="auto"/>
                      <w:highlight w:val="none"/>
                    </w:rPr>
                    <w:t>台</w:t>
                  </w:r>
                </w:p>
              </w:tc>
              <w:tc>
                <w:tcPr>
                  <w:tcW w:w="414" w:type="pct"/>
                  <w:vAlign w:val="center"/>
                </w:tcPr>
                <w:p>
                  <w:pPr>
                    <w:pStyle w:val="35"/>
                    <w:rPr>
                      <w:color w:val="auto"/>
                      <w:highlight w:val="none"/>
                    </w:rPr>
                  </w:pPr>
                  <w:r>
                    <w:rPr>
                      <w:rFonts w:hint="eastAsia"/>
                      <w:color w:val="auto"/>
                      <w:highlight w:val="none"/>
                    </w:rPr>
                    <w:t>2</w:t>
                  </w:r>
                </w:p>
              </w:tc>
              <w:tc>
                <w:tcPr>
                  <w:tcW w:w="905" w:type="pct"/>
                  <w:vAlign w:val="center"/>
                </w:tcPr>
                <w:p>
                  <w:pPr>
                    <w:pStyle w:val="35"/>
                    <w:rPr>
                      <w:color w:val="auto"/>
                      <w:highlight w:val="none"/>
                    </w:rPr>
                  </w:pPr>
                  <w:r>
                    <w:rPr>
                      <w:color w:val="auto"/>
                      <w:highlight w:val="none"/>
                    </w:rPr>
                    <w:t>80</w:t>
                  </w:r>
                </w:p>
              </w:tc>
              <w:tc>
                <w:tcPr>
                  <w:tcW w:w="999" w:type="pct"/>
                  <w:vAlign w:val="center"/>
                </w:tcPr>
                <w:p>
                  <w:pPr>
                    <w:pStyle w:val="35"/>
                    <w:rPr>
                      <w:color w:val="auto"/>
                      <w:highlight w:val="none"/>
                    </w:rPr>
                  </w:pPr>
                  <w:r>
                    <w:rPr>
                      <w:color w:val="auto"/>
                      <w:highlight w:val="none"/>
                    </w:rPr>
                    <w:t>5</w:t>
                  </w:r>
                </w:p>
              </w:tc>
              <w:tc>
                <w:tcPr>
                  <w:tcW w:w="1128" w:type="pct"/>
                  <w:vAlign w:val="center"/>
                </w:tcPr>
                <w:p>
                  <w:pPr>
                    <w:pStyle w:val="35"/>
                    <w:rPr>
                      <w:color w:val="auto"/>
                      <w:highlight w:val="none"/>
                    </w:rPr>
                  </w:pPr>
                  <w:r>
                    <w:rPr>
                      <w:color w:val="auto"/>
                      <w:highlight w:val="none"/>
                    </w:rPr>
                    <w:t>间歇性声源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9" w:type="pct"/>
                  <w:vAlign w:val="center"/>
                </w:tcPr>
                <w:p>
                  <w:pPr>
                    <w:pStyle w:val="35"/>
                    <w:rPr>
                      <w:color w:val="auto"/>
                      <w:highlight w:val="none"/>
                    </w:rPr>
                  </w:pPr>
                  <w:r>
                    <w:rPr>
                      <w:color w:val="auto"/>
                      <w:highlight w:val="none"/>
                    </w:rPr>
                    <w:t>运输车辆</w:t>
                  </w:r>
                </w:p>
              </w:tc>
              <w:tc>
                <w:tcPr>
                  <w:tcW w:w="502" w:type="pct"/>
                  <w:vAlign w:val="center"/>
                </w:tcPr>
                <w:p>
                  <w:pPr>
                    <w:pStyle w:val="35"/>
                    <w:rPr>
                      <w:color w:val="auto"/>
                      <w:highlight w:val="none"/>
                    </w:rPr>
                  </w:pPr>
                  <w:r>
                    <w:rPr>
                      <w:color w:val="auto"/>
                      <w:highlight w:val="none"/>
                    </w:rPr>
                    <w:t>辆</w:t>
                  </w:r>
                </w:p>
              </w:tc>
              <w:tc>
                <w:tcPr>
                  <w:tcW w:w="414" w:type="pct"/>
                  <w:vAlign w:val="center"/>
                </w:tcPr>
                <w:p>
                  <w:pPr>
                    <w:pStyle w:val="35"/>
                    <w:rPr>
                      <w:color w:val="auto"/>
                      <w:highlight w:val="none"/>
                    </w:rPr>
                  </w:pPr>
                  <w:r>
                    <w:rPr>
                      <w:rFonts w:hint="eastAsia"/>
                      <w:color w:val="auto"/>
                      <w:highlight w:val="none"/>
                    </w:rPr>
                    <w:t>3</w:t>
                  </w:r>
                </w:p>
              </w:tc>
              <w:tc>
                <w:tcPr>
                  <w:tcW w:w="905" w:type="pct"/>
                  <w:vAlign w:val="center"/>
                </w:tcPr>
                <w:p>
                  <w:pPr>
                    <w:pStyle w:val="35"/>
                    <w:rPr>
                      <w:color w:val="auto"/>
                      <w:highlight w:val="none"/>
                    </w:rPr>
                  </w:pPr>
                  <w:r>
                    <w:rPr>
                      <w:color w:val="auto"/>
                      <w:highlight w:val="none"/>
                    </w:rPr>
                    <w:t>86</w:t>
                  </w:r>
                </w:p>
              </w:tc>
              <w:tc>
                <w:tcPr>
                  <w:tcW w:w="999" w:type="pct"/>
                  <w:vAlign w:val="center"/>
                </w:tcPr>
                <w:p>
                  <w:pPr>
                    <w:pStyle w:val="35"/>
                    <w:rPr>
                      <w:color w:val="auto"/>
                      <w:highlight w:val="none"/>
                    </w:rPr>
                  </w:pPr>
                  <w:r>
                    <w:rPr>
                      <w:color w:val="auto"/>
                      <w:highlight w:val="none"/>
                    </w:rPr>
                    <w:t>1</w:t>
                  </w:r>
                </w:p>
              </w:tc>
              <w:tc>
                <w:tcPr>
                  <w:tcW w:w="1128" w:type="pct"/>
                  <w:vAlign w:val="center"/>
                </w:tcPr>
                <w:p>
                  <w:pPr>
                    <w:pStyle w:val="35"/>
                    <w:rPr>
                      <w:color w:val="auto"/>
                      <w:highlight w:val="none"/>
                    </w:rPr>
                  </w:pPr>
                  <w:r>
                    <w:rPr>
                      <w:color w:val="auto"/>
                      <w:highlight w:val="none"/>
                    </w:rPr>
                    <w:t>间歇性声源</w:t>
                  </w:r>
                </w:p>
              </w:tc>
            </w:tr>
          </w:tbl>
          <w:p>
            <w:pPr>
              <w:pStyle w:val="35"/>
              <w:rPr>
                <w:color w:val="auto"/>
                <w:highlight w:val="none"/>
              </w:rPr>
            </w:pPr>
          </w:p>
          <w:p>
            <w:pPr>
              <w:pStyle w:val="6"/>
              <w:rPr>
                <w:rFonts w:eastAsia="黑体"/>
                <w:color w:val="auto"/>
                <w:sz w:val="24"/>
                <w:szCs w:val="36"/>
                <w:highlight w:val="none"/>
              </w:rPr>
            </w:pPr>
            <w:r>
              <w:rPr>
                <w:rFonts w:eastAsia="黑体"/>
                <w:color w:val="auto"/>
                <w:sz w:val="24"/>
                <w:szCs w:val="36"/>
                <w:highlight w:val="none"/>
              </w:rPr>
              <w:t>4.1.3.2施工期噪声</w:t>
            </w:r>
            <w:r>
              <w:rPr>
                <w:rFonts w:hint="eastAsia" w:eastAsia="黑体"/>
                <w:color w:val="auto"/>
                <w:sz w:val="24"/>
                <w:szCs w:val="36"/>
                <w:highlight w:val="none"/>
              </w:rPr>
              <w:t>影响</w:t>
            </w:r>
            <w:r>
              <w:rPr>
                <w:rFonts w:eastAsia="黑体"/>
                <w:color w:val="auto"/>
                <w:sz w:val="24"/>
                <w:szCs w:val="36"/>
                <w:highlight w:val="none"/>
              </w:rPr>
              <w:t>控制措施</w:t>
            </w:r>
          </w:p>
          <w:p>
            <w:pPr>
              <w:pStyle w:val="32"/>
              <w:ind w:firstLine="480"/>
              <w:rPr>
                <w:color w:val="auto"/>
                <w:highlight w:val="none"/>
              </w:rPr>
            </w:pPr>
            <w:r>
              <w:rPr>
                <w:color w:val="auto"/>
                <w:highlight w:val="none"/>
              </w:rPr>
              <w:t>为降低施工噪声对周边</w:t>
            </w:r>
            <w:r>
              <w:rPr>
                <w:rFonts w:hint="eastAsia"/>
                <w:color w:val="auto"/>
                <w:highlight w:val="none"/>
              </w:rPr>
              <w:t>环境</w:t>
            </w:r>
            <w:r>
              <w:rPr>
                <w:color w:val="auto"/>
                <w:highlight w:val="none"/>
              </w:rPr>
              <w:t>的影响，建设单位应采取合理的噪声防治措施：</w:t>
            </w:r>
          </w:p>
          <w:p>
            <w:pPr>
              <w:pStyle w:val="32"/>
              <w:ind w:firstLine="480"/>
              <w:rPr>
                <w:color w:val="auto"/>
                <w:highlight w:val="none"/>
              </w:rPr>
            </w:pPr>
            <w:r>
              <w:rPr>
                <w:color w:val="auto"/>
                <w:highlight w:val="none"/>
              </w:rPr>
              <w:t>（1）</w:t>
            </w:r>
            <w:r>
              <w:rPr>
                <w:rFonts w:hint="eastAsia"/>
                <w:color w:val="auto"/>
                <w:highlight w:val="none"/>
              </w:rPr>
              <w:t>尽量</w:t>
            </w:r>
            <w:r>
              <w:rPr>
                <w:color w:val="auto"/>
                <w:highlight w:val="none"/>
              </w:rPr>
              <w:t>采用低噪声设备，可固定的机械设备安置在施工场地临时房间内降低噪声；施工机械要注意保养、合理操作，尽量使机械噪声降低至最低水平。</w:t>
            </w:r>
          </w:p>
          <w:p>
            <w:pPr>
              <w:pStyle w:val="32"/>
              <w:ind w:firstLine="480"/>
              <w:rPr>
                <w:color w:val="auto"/>
                <w:highlight w:val="none"/>
              </w:rPr>
            </w:pPr>
            <w:r>
              <w:rPr>
                <w:color w:val="auto"/>
                <w:highlight w:val="none"/>
              </w:rPr>
              <w:t>（2）施工期间要求工程施工队伍文明施工，加强管理，以缓解噪声对环境的影响。</w:t>
            </w:r>
          </w:p>
          <w:p>
            <w:pPr>
              <w:pStyle w:val="32"/>
              <w:ind w:firstLine="480"/>
              <w:rPr>
                <w:color w:val="auto"/>
                <w:highlight w:val="none"/>
              </w:rPr>
            </w:pPr>
            <w:r>
              <w:rPr>
                <w:color w:val="auto"/>
                <w:highlight w:val="none"/>
              </w:rPr>
              <w:t>（3）合理制定施工计划，严格控制和管理产生噪声的设备的使用时间，尽可能避免在同一区段安排大量强噪声设备同时施工；尽量使噪声高的设备在白天运行，禁止</w:t>
            </w:r>
            <w:r>
              <w:rPr>
                <w:rFonts w:hint="eastAsia"/>
                <w:color w:val="auto"/>
                <w:highlight w:val="none"/>
              </w:rPr>
              <w:t>午间（11时至13时）和</w:t>
            </w:r>
            <w:r>
              <w:rPr>
                <w:color w:val="auto"/>
                <w:highlight w:val="none"/>
              </w:rPr>
              <w:t>夜间（22时至次日6时）施工。</w:t>
            </w:r>
          </w:p>
          <w:p>
            <w:pPr>
              <w:pStyle w:val="29"/>
              <w:tabs>
                <w:tab w:val="left" w:pos="644"/>
              </w:tabs>
              <w:rPr>
                <w:color w:val="auto"/>
                <w:highlight w:val="none"/>
              </w:rPr>
            </w:pPr>
            <w:r>
              <w:rPr>
                <w:rFonts w:hint="eastAsia"/>
                <w:color w:val="auto"/>
                <w:highlight w:val="none"/>
              </w:rPr>
              <w:t>4.1.4施工期固体废物环境保护措施</w:t>
            </w:r>
          </w:p>
          <w:p>
            <w:pPr>
              <w:spacing w:line="360" w:lineRule="auto"/>
              <w:ind w:firstLine="480"/>
              <w:textAlignment w:val="baseline"/>
              <w:rPr>
                <w:color w:val="auto"/>
                <w:sz w:val="24"/>
                <w:highlight w:val="none"/>
              </w:rPr>
            </w:pPr>
            <w:r>
              <w:rPr>
                <w:color w:val="auto"/>
                <w:sz w:val="24"/>
                <w:highlight w:val="none"/>
              </w:rPr>
              <w:t>施工期固体废物主要为建筑垃圾及施工人员生活垃圾。施工人员生活垃圾定点收集后，交由环卫部门处理</w:t>
            </w:r>
            <w:r>
              <w:rPr>
                <w:rFonts w:hint="eastAsia"/>
                <w:color w:val="auto"/>
                <w:sz w:val="24"/>
                <w:highlight w:val="none"/>
              </w:rPr>
              <w:t>；</w:t>
            </w:r>
            <w:r>
              <w:rPr>
                <w:color w:val="auto"/>
                <w:sz w:val="24"/>
                <w:highlight w:val="none"/>
              </w:rPr>
              <w:t>施工过程中会产生模板、材料下脚料、断残钢筋头、包装袋、建筑碎片、碎砖头、水泥块、石子、沙子等施工垃圾，这部分垃圾分类收集，能够回用于路基填方的进行回用处理，不能回用的作为建筑垃圾运至指定的消纳场进行处置。</w:t>
            </w:r>
          </w:p>
          <w:p>
            <w:pPr>
              <w:pStyle w:val="32"/>
              <w:ind w:firstLine="480"/>
              <w:rPr>
                <w:color w:val="auto"/>
                <w:highlight w:val="none"/>
              </w:rPr>
            </w:pPr>
            <w:r>
              <w:rPr>
                <w:color w:val="auto"/>
                <w:highlight w:val="none"/>
              </w:rPr>
              <w:t>综上所述，施工现场应加强管理，提倡文明施工，经采取以上措施后，施工期固体废物不会对周围环境造成明显影响</w:t>
            </w:r>
            <w:r>
              <w:rPr>
                <w:rFonts w:hint="eastAsia"/>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420" w:type="pct"/>
            <w:tcMar>
              <w:left w:w="28" w:type="dxa"/>
              <w:right w:w="28" w:type="dxa"/>
            </w:tcMar>
            <w:vAlign w:val="center"/>
          </w:tcPr>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运营</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境影</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响和</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保护</w:t>
            </w:r>
          </w:p>
          <w:p>
            <w:pPr>
              <w:pStyle w:val="16"/>
              <w:adjustRightInd w:val="0"/>
              <w:snapToGrid w:val="0"/>
              <w:spacing w:before="0" w:beforeAutospacing="0" w:after="0" w:afterAutospacing="0"/>
              <w:jc w:val="center"/>
              <w:rPr>
                <w:rFonts w:hint="eastAsia" w:cs="宋体"/>
                <w:bCs/>
                <w:color w:val="auto"/>
                <w:szCs w:val="21"/>
                <w:highlight w:val="none"/>
              </w:rPr>
            </w:pPr>
            <w:r>
              <w:rPr>
                <w:rFonts w:hint="eastAsia" w:cs="宋体"/>
                <w:color w:val="auto"/>
                <w:kern w:val="2"/>
                <w:sz w:val="21"/>
                <w:szCs w:val="21"/>
                <w:highlight w:val="none"/>
              </w:rPr>
              <w:t>措施</w:t>
            </w:r>
          </w:p>
        </w:tc>
        <w:tc>
          <w:tcPr>
            <w:tcW w:w="4579" w:type="pct"/>
            <w:vAlign w:val="center"/>
          </w:tcPr>
          <w:p>
            <w:pPr>
              <w:pStyle w:val="49"/>
              <w:numPr>
                <w:ilvl w:val="1"/>
                <w:numId w:val="0"/>
              </w:numPr>
              <w:rPr>
                <w:rFonts w:hint="default" w:eastAsia="黑体" w:cstheme="minorBidi"/>
                <w:bCs w:val="0"/>
                <w:color w:val="auto"/>
                <w:kern w:val="2"/>
                <w:highlight w:val="none"/>
              </w:rPr>
            </w:pPr>
            <w:r>
              <w:rPr>
                <w:rFonts w:eastAsia="黑体" w:cstheme="minorBidi"/>
                <w:bCs w:val="0"/>
                <w:color w:val="auto"/>
                <w:kern w:val="2"/>
                <w:highlight w:val="none"/>
              </w:rPr>
              <w:t>4.2运营期环境影响和保护措施</w:t>
            </w:r>
          </w:p>
          <w:p>
            <w:pPr>
              <w:pStyle w:val="29"/>
              <w:tabs>
                <w:tab w:val="left" w:pos="644"/>
              </w:tabs>
              <w:rPr>
                <w:color w:val="auto"/>
                <w:highlight w:val="none"/>
              </w:rPr>
            </w:pPr>
            <w:r>
              <w:rPr>
                <w:rFonts w:hint="eastAsia"/>
                <w:color w:val="auto"/>
                <w:highlight w:val="none"/>
              </w:rPr>
              <w:t>4.2.1 废气</w:t>
            </w:r>
          </w:p>
          <w:p>
            <w:pPr>
              <w:pStyle w:val="42"/>
              <w:tabs>
                <w:tab w:val="left" w:pos="0"/>
              </w:tabs>
              <w:rPr>
                <w:color w:val="auto"/>
                <w:highlight w:val="none"/>
              </w:rPr>
            </w:pPr>
            <w:r>
              <w:rPr>
                <w:rFonts w:hint="eastAsia"/>
                <w:color w:val="auto"/>
                <w:highlight w:val="none"/>
              </w:rPr>
              <w:t>4.2.1.1 废气污染物源强分析</w:t>
            </w:r>
          </w:p>
          <w:p>
            <w:pPr>
              <w:pStyle w:val="32"/>
              <w:ind w:firstLine="480"/>
              <w:rPr>
                <w:color w:val="auto"/>
                <w:szCs w:val="21"/>
                <w:highlight w:val="none"/>
              </w:rPr>
            </w:pPr>
            <w:r>
              <w:rPr>
                <w:rFonts w:hint="eastAsia"/>
                <w:color w:val="auto"/>
                <w:szCs w:val="21"/>
                <w:highlight w:val="none"/>
              </w:rPr>
              <w:t>1.粉尘产生及排放情况</w:t>
            </w:r>
          </w:p>
          <w:p>
            <w:pPr>
              <w:pStyle w:val="32"/>
              <w:ind w:firstLine="480"/>
              <w:rPr>
                <w:color w:val="auto"/>
                <w:szCs w:val="21"/>
                <w:highlight w:val="none"/>
              </w:rPr>
            </w:pPr>
            <w:r>
              <w:rPr>
                <w:rFonts w:hint="eastAsia"/>
                <w:color w:val="auto"/>
                <w:szCs w:val="21"/>
                <w:highlight w:val="none"/>
              </w:rPr>
              <w:t>本项目废气主要包括码头卸料粉尘，</w:t>
            </w:r>
            <w:r>
              <w:rPr>
                <w:color w:val="auto"/>
                <w:szCs w:val="21"/>
                <w:highlight w:val="none"/>
              </w:rPr>
              <w:t>物料运输扬尘</w:t>
            </w:r>
            <w:r>
              <w:rPr>
                <w:rFonts w:hint="eastAsia"/>
                <w:color w:val="auto"/>
                <w:szCs w:val="21"/>
                <w:highlight w:val="none"/>
              </w:rPr>
              <w:t>，</w:t>
            </w:r>
            <w:r>
              <w:rPr>
                <w:rFonts w:hint="eastAsia"/>
                <w:color w:val="auto"/>
                <w:szCs w:val="21"/>
                <w:highlight w:val="none"/>
                <w:lang w:val="en-US" w:eastAsia="zh-CN"/>
              </w:rPr>
              <w:t>卸矿站外胶带输送</w:t>
            </w:r>
            <w:r>
              <w:rPr>
                <w:rFonts w:hint="eastAsia"/>
                <w:color w:val="auto"/>
                <w:highlight w:val="none"/>
              </w:rPr>
              <w:t>转运站粉尘</w:t>
            </w:r>
            <w:r>
              <w:rPr>
                <w:rFonts w:hint="eastAsia"/>
                <w:color w:val="auto"/>
                <w:highlight w:val="none"/>
                <w:lang w:eastAsia="zh-CN"/>
              </w:rPr>
              <w:t>，</w:t>
            </w:r>
            <w:r>
              <w:rPr>
                <w:rFonts w:hint="eastAsia"/>
                <w:color w:val="auto"/>
                <w:highlight w:val="none"/>
                <w:lang w:val="en-US" w:eastAsia="zh-CN"/>
              </w:rPr>
              <w:t>卸矿站原料和成品转运过程产生的</w:t>
            </w:r>
            <w:r>
              <w:rPr>
                <w:rFonts w:hint="eastAsia"/>
                <w:color w:val="auto"/>
                <w:highlight w:val="none"/>
              </w:rPr>
              <w:t>粉尘</w:t>
            </w:r>
            <w:r>
              <w:rPr>
                <w:rFonts w:hint="eastAsia"/>
                <w:color w:val="auto"/>
                <w:highlight w:val="none"/>
                <w:lang w:eastAsia="zh-CN"/>
              </w:rPr>
              <w:t>，</w:t>
            </w:r>
            <w:r>
              <w:rPr>
                <w:rFonts w:hint="eastAsia"/>
                <w:color w:val="auto"/>
                <w:highlight w:val="none"/>
                <w:lang w:val="en-US" w:eastAsia="zh-CN"/>
              </w:rPr>
              <w:t>卸矿站原料</w:t>
            </w:r>
            <w:r>
              <w:rPr>
                <w:rFonts w:hint="eastAsia"/>
                <w:color w:val="auto"/>
                <w:highlight w:val="none"/>
              </w:rPr>
              <w:t>堆场</w:t>
            </w:r>
            <w:r>
              <w:rPr>
                <w:rFonts w:hint="eastAsia"/>
                <w:color w:val="auto"/>
                <w:highlight w:val="none"/>
                <w:lang w:eastAsia="zh-CN"/>
              </w:rPr>
              <w:t>、</w:t>
            </w:r>
            <w:r>
              <w:rPr>
                <w:rFonts w:hint="eastAsia"/>
                <w:color w:val="auto"/>
                <w:highlight w:val="none"/>
                <w:lang w:val="en-US" w:eastAsia="zh-CN"/>
              </w:rPr>
              <w:t>成品矿堆场</w:t>
            </w:r>
            <w:r>
              <w:rPr>
                <w:rFonts w:hint="eastAsia"/>
                <w:color w:val="auto"/>
                <w:highlight w:val="none"/>
              </w:rPr>
              <w:t>扬尘</w:t>
            </w:r>
            <w:r>
              <w:rPr>
                <w:rFonts w:hint="eastAsia"/>
                <w:color w:val="auto"/>
                <w:highlight w:val="none"/>
                <w:lang w:eastAsia="zh-CN"/>
              </w:rPr>
              <w:t>，</w:t>
            </w:r>
            <w:r>
              <w:rPr>
                <w:rFonts w:hint="eastAsia"/>
                <w:color w:val="auto"/>
                <w:highlight w:val="none"/>
                <w:lang w:val="en-US" w:eastAsia="zh-CN"/>
              </w:rPr>
              <w:t>混矿库</w:t>
            </w:r>
            <w:r>
              <w:rPr>
                <w:rFonts w:hint="eastAsia"/>
                <w:color w:val="auto"/>
                <w:szCs w:val="21"/>
                <w:highlight w:val="none"/>
              </w:rPr>
              <w:t>原料</w:t>
            </w:r>
            <w:r>
              <w:rPr>
                <w:rFonts w:hint="eastAsia"/>
                <w:color w:val="auto"/>
                <w:szCs w:val="21"/>
                <w:highlight w:val="none"/>
                <w:lang w:val="en-US" w:eastAsia="zh-CN"/>
              </w:rPr>
              <w:t>转运过程粉尘，</w:t>
            </w:r>
            <w:r>
              <w:rPr>
                <w:rFonts w:hint="eastAsia"/>
                <w:color w:val="auto"/>
                <w:highlight w:val="none"/>
                <w:lang w:val="en-US" w:eastAsia="zh-CN"/>
              </w:rPr>
              <w:t>混矿库</w:t>
            </w:r>
            <w:r>
              <w:rPr>
                <w:rFonts w:hint="eastAsia"/>
                <w:color w:val="auto"/>
                <w:szCs w:val="21"/>
                <w:highlight w:val="none"/>
              </w:rPr>
              <w:t>配料粉尘，</w:t>
            </w:r>
            <w:r>
              <w:rPr>
                <w:rFonts w:hint="eastAsia"/>
                <w:color w:val="auto"/>
                <w:highlight w:val="none"/>
                <w:lang w:val="en-US" w:eastAsia="zh-CN"/>
              </w:rPr>
              <w:t>混矿库</w:t>
            </w:r>
            <w:r>
              <w:rPr>
                <w:rFonts w:hint="eastAsia"/>
                <w:color w:val="auto"/>
                <w:szCs w:val="21"/>
                <w:highlight w:val="none"/>
              </w:rPr>
              <w:t>原料区及成品区扬尘，</w:t>
            </w:r>
            <w:r>
              <w:rPr>
                <w:rFonts w:hint="eastAsia"/>
                <w:color w:val="auto"/>
                <w:highlight w:val="none"/>
                <w:lang w:val="en-US" w:eastAsia="zh-CN"/>
              </w:rPr>
              <w:t>混矿库</w:t>
            </w:r>
            <w:r>
              <w:rPr>
                <w:rFonts w:hint="eastAsia"/>
                <w:color w:val="auto"/>
                <w:szCs w:val="21"/>
                <w:highlight w:val="none"/>
              </w:rPr>
              <w:t>圆筒混料机</w:t>
            </w:r>
            <w:r>
              <w:rPr>
                <w:rFonts w:hint="eastAsia"/>
                <w:color w:val="auto"/>
                <w:szCs w:val="21"/>
                <w:highlight w:val="none"/>
                <w:lang w:val="en-US" w:eastAsia="zh-CN"/>
              </w:rPr>
              <w:t>上料和落料</w:t>
            </w:r>
            <w:r>
              <w:rPr>
                <w:rFonts w:hint="eastAsia"/>
                <w:color w:val="auto"/>
                <w:szCs w:val="21"/>
                <w:highlight w:val="none"/>
              </w:rPr>
              <w:t>粉尘，</w:t>
            </w:r>
            <w:r>
              <w:rPr>
                <w:rFonts w:hint="eastAsia"/>
                <w:color w:val="auto"/>
                <w:highlight w:val="none"/>
                <w:lang w:val="en-US" w:eastAsia="zh-CN"/>
              </w:rPr>
              <w:t>混矿库成品转运过程粉尘，</w:t>
            </w:r>
            <w:r>
              <w:rPr>
                <w:rFonts w:hint="eastAsia"/>
                <w:color w:val="auto"/>
                <w:szCs w:val="21"/>
                <w:highlight w:val="none"/>
              </w:rPr>
              <w:t>制样室筛分、烘干过程粉尘等。</w:t>
            </w:r>
          </w:p>
          <w:p>
            <w:pPr>
              <w:pStyle w:val="32"/>
              <w:ind w:firstLine="480"/>
              <w:rPr>
                <w:color w:val="auto"/>
                <w:highlight w:val="none"/>
              </w:rPr>
            </w:pPr>
          </w:p>
        </w:tc>
      </w:tr>
    </w:tbl>
    <w:p>
      <w:pPr>
        <w:rPr>
          <w:color w:val="auto"/>
          <w:highlight w:val="none"/>
        </w:rPr>
        <w:sectPr>
          <w:pgSz w:w="11906" w:h="16838"/>
          <w:pgMar w:top="1417" w:right="1304" w:bottom="1304" w:left="1304" w:header="851" w:footer="992" w:gutter="0"/>
          <w:cols w:space="425" w:num="1"/>
          <w:docGrid w:type="lines" w:linePitch="312" w:charSpace="0"/>
        </w:sectPr>
      </w:pPr>
    </w:p>
    <w:p>
      <w:pPr>
        <w:pStyle w:val="36"/>
        <w:rPr>
          <w:color w:val="auto"/>
          <w:highlight w:val="none"/>
        </w:rPr>
      </w:pPr>
      <w:r>
        <w:rPr>
          <w:rFonts w:hint="eastAsia"/>
          <w:color w:val="auto"/>
          <w:highlight w:val="none"/>
        </w:rPr>
        <w:t>表4.2.1  废气产污环节、污染物、排放形式及污染防治设施一览表</w:t>
      </w:r>
    </w:p>
    <w:tbl>
      <w:tblPr>
        <w:tblStyle w:val="38"/>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4"/>
        <w:gridCol w:w="1774"/>
        <w:gridCol w:w="874"/>
        <w:gridCol w:w="834"/>
        <w:gridCol w:w="3197"/>
        <w:gridCol w:w="671"/>
        <w:gridCol w:w="1023"/>
        <w:gridCol w:w="626"/>
        <w:gridCol w:w="1494"/>
        <w:gridCol w:w="1571"/>
        <w:gridCol w:w="709"/>
        <w:gridCol w:w="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 w:hRule="atLeast"/>
        </w:trPr>
        <w:tc>
          <w:tcPr>
            <w:tcW w:w="306"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产污环</w:t>
            </w:r>
          </w:p>
          <w:p>
            <w:pPr>
              <w:widowControl/>
              <w:jc w:val="center"/>
              <w:textAlignment w:val="center"/>
              <w:rPr>
                <w:color w:val="auto"/>
                <w:kern w:val="0"/>
                <w:sz w:val="18"/>
                <w:szCs w:val="18"/>
                <w:highlight w:val="none"/>
                <w:lang w:bidi="ar"/>
              </w:rPr>
            </w:pPr>
            <w:r>
              <w:rPr>
                <w:color w:val="auto"/>
                <w:kern w:val="0"/>
                <w:sz w:val="18"/>
                <w:szCs w:val="18"/>
                <w:highlight w:val="none"/>
                <w:lang w:bidi="ar"/>
              </w:rPr>
              <w:t>节</w:t>
            </w:r>
          </w:p>
        </w:tc>
        <w:tc>
          <w:tcPr>
            <w:tcW w:w="621"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产污节点</w:t>
            </w:r>
          </w:p>
          <w:p>
            <w:pPr>
              <w:widowControl/>
              <w:jc w:val="center"/>
              <w:textAlignment w:val="center"/>
              <w:rPr>
                <w:color w:val="auto"/>
                <w:kern w:val="0"/>
                <w:sz w:val="18"/>
                <w:szCs w:val="18"/>
                <w:highlight w:val="none"/>
                <w:lang w:bidi="ar"/>
              </w:rPr>
            </w:pPr>
            <w:r>
              <w:rPr>
                <w:color w:val="auto"/>
                <w:kern w:val="0"/>
                <w:sz w:val="18"/>
                <w:szCs w:val="18"/>
                <w:highlight w:val="none"/>
                <w:lang w:bidi="ar"/>
              </w:rPr>
              <w:t>名称</w:t>
            </w:r>
          </w:p>
        </w:tc>
        <w:tc>
          <w:tcPr>
            <w:tcW w:w="306"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污染物种</w:t>
            </w:r>
          </w:p>
          <w:p>
            <w:pPr>
              <w:widowControl/>
              <w:jc w:val="center"/>
              <w:textAlignment w:val="center"/>
              <w:rPr>
                <w:color w:val="auto"/>
                <w:kern w:val="0"/>
                <w:sz w:val="18"/>
                <w:szCs w:val="18"/>
                <w:highlight w:val="none"/>
                <w:lang w:bidi="ar"/>
              </w:rPr>
            </w:pPr>
            <w:r>
              <w:rPr>
                <w:color w:val="auto"/>
                <w:kern w:val="0"/>
                <w:sz w:val="18"/>
                <w:szCs w:val="18"/>
                <w:highlight w:val="none"/>
                <w:lang w:bidi="ar"/>
              </w:rPr>
              <w:t>类</w:t>
            </w:r>
          </w:p>
        </w:tc>
        <w:tc>
          <w:tcPr>
            <w:tcW w:w="292"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排放形</w:t>
            </w:r>
          </w:p>
          <w:p>
            <w:pPr>
              <w:widowControl/>
              <w:jc w:val="center"/>
              <w:textAlignment w:val="center"/>
              <w:rPr>
                <w:color w:val="auto"/>
                <w:kern w:val="0"/>
                <w:sz w:val="18"/>
                <w:szCs w:val="18"/>
                <w:highlight w:val="none"/>
                <w:lang w:bidi="ar"/>
              </w:rPr>
            </w:pPr>
            <w:r>
              <w:rPr>
                <w:color w:val="auto"/>
                <w:kern w:val="0"/>
                <w:sz w:val="18"/>
                <w:szCs w:val="18"/>
                <w:highlight w:val="none"/>
                <w:lang w:bidi="ar"/>
              </w:rPr>
              <w:t>式</w:t>
            </w:r>
          </w:p>
        </w:tc>
        <w:tc>
          <w:tcPr>
            <w:tcW w:w="1712" w:type="pct"/>
            <w:gridSpan w:val="3"/>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治理设施</w:t>
            </w:r>
          </w:p>
        </w:tc>
        <w:tc>
          <w:tcPr>
            <w:tcW w:w="219"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排放口编号</w:t>
            </w:r>
          </w:p>
        </w:tc>
        <w:tc>
          <w:tcPr>
            <w:tcW w:w="523"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排放标准</w:t>
            </w:r>
          </w:p>
        </w:tc>
        <w:tc>
          <w:tcPr>
            <w:tcW w:w="1018" w:type="pct"/>
            <w:gridSpan w:val="3"/>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监测要求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306" w:type="pct"/>
            <w:vMerge w:val="continue"/>
            <w:vAlign w:val="center"/>
          </w:tcPr>
          <w:p>
            <w:pPr>
              <w:widowControl/>
              <w:jc w:val="center"/>
              <w:textAlignment w:val="center"/>
              <w:rPr>
                <w:color w:val="auto"/>
                <w:kern w:val="0"/>
                <w:sz w:val="18"/>
                <w:szCs w:val="18"/>
                <w:highlight w:val="none"/>
                <w:lang w:bidi="ar"/>
              </w:rPr>
            </w:pPr>
          </w:p>
        </w:tc>
        <w:tc>
          <w:tcPr>
            <w:tcW w:w="621" w:type="pct"/>
            <w:vMerge w:val="continue"/>
            <w:vAlign w:val="center"/>
          </w:tcPr>
          <w:p>
            <w:pPr>
              <w:widowControl/>
              <w:jc w:val="center"/>
              <w:textAlignment w:val="center"/>
              <w:rPr>
                <w:color w:val="auto"/>
                <w:kern w:val="0"/>
                <w:sz w:val="18"/>
                <w:szCs w:val="18"/>
                <w:highlight w:val="none"/>
                <w:lang w:bidi="ar"/>
              </w:rPr>
            </w:pPr>
          </w:p>
        </w:tc>
        <w:tc>
          <w:tcPr>
            <w:tcW w:w="306" w:type="pct"/>
            <w:vMerge w:val="continue"/>
            <w:vAlign w:val="center"/>
          </w:tcPr>
          <w:p>
            <w:pPr>
              <w:widowControl/>
              <w:jc w:val="center"/>
              <w:textAlignment w:val="center"/>
              <w:rPr>
                <w:color w:val="auto"/>
                <w:kern w:val="0"/>
                <w:sz w:val="18"/>
                <w:szCs w:val="18"/>
                <w:highlight w:val="none"/>
                <w:lang w:bidi="ar"/>
              </w:rPr>
            </w:pPr>
          </w:p>
        </w:tc>
        <w:tc>
          <w:tcPr>
            <w:tcW w:w="292" w:type="pct"/>
            <w:vMerge w:val="continue"/>
            <w:vAlign w:val="center"/>
          </w:tcPr>
          <w:p>
            <w:pPr>
              <w:widowControl/>
              <w:jc w:val="center"/>
              <w:textAlignment w:val="center"/>
              <w:rPr>
                <w:color w:val="auto"/>
                <w:kern w:val="0"/>
                <w:sz w:val="18"/>
                <w:szCs w:val="18"/>
                <w:highlight w:val="none"/>
                <w:lang w:bidi="ar"/>
              </w:rPr>
            </w:pPr>
          </w:p>
        </w:tc>
        <w:tc>
          <w:tcPr>
            <w:tcW w:w="11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污染防治措施</w:t>
            </w:r>
          </w:p>
        </w:tc>
        <w:tc>
          <w:tcPr>
            <w:tcW w:w="23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除尘效率</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是否为可</w:t>
            </w:r>
          </w:p>
          <w:p>
            <w:pPr>
              <w:widowControl/>
              <w:jc w:val="center"/>
              <w:textAlignment w:val="center"/>
              <w:rPr>
                <w:color w:val="auto"/>
                <w:kern w:val="0"/>
                <w:sz w:val="18"/>
                <w:szCs w:val="18"/>
                <w:highlight w:val="none"/>
                <w:lang w:bidi="ar"/>
              </w:rPr>
            </w:pPr>
            <w:r>
              <w:rPr>
                <w:color w:val="auto"/>
                <w:kern w:val="0"/>
                <w:sz w:val="18"/>
                <w:szCs w:val="18"/>
                <w:highlight w:val="none"/>
                <w:lang w:bidi="ar"/>
              </w:rPr>
              <w:t>行技术</w:t>
            </w:r>
          </w:p>
        </w:tc>
        <w:tc>
          <w:tcPr>
            <w:tcW w:w="219" w:type="pct"/>
            <w:vMerge w:val="continue"/>
            <w:vAlign w:val="center"/>
          </w:tcPr>
          <w:p>
            <w:pPr>
              <w:widowControl/>
              <w:jc w:val="center"/>
              <w:textAlignment w:val="center"/>
              <w:rPr>
                <w:color w:val="auto"/>
                <w:kern w:val="0"/>
                <w:sz w:val="18"/>
                <w:szCs w:val="18"/>
                <w:highlight w:val="none"/>
                <w:lang w:bidi="ar"/>
              </w:rPr>
            </w:pP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监测点位</w:t>
            </w:r>
          </w:p>
        </w:tc>
        <w:tc>
          <w:tcPr>
            <w:tcW w:w="24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监测</w:t>
            </w:r>
          </w:p>
          <w:p>
            <w:pPr>
              <w:widowControl/>
              <w:jc w:val="center"/>
              <w:textAlignment w:val="center"/>
              <w:rPr>
                <w:color w:val="auto"/>
                <w:kern w:val="0"/>
                <w:sz w:val="18"/>
                <w:szCs w:val="18"/>
                <w:highlight w:val="none"/>
                <w:lang w:bidi="ar"/>
              </w:rPr>
            </w:pPr>
            <w:r>
              <w:rPr>
                <w:color w:val="auto"/>
                <w:kern w:val="0"/>
                <w:sz w:val="18"/>
                <w:szCs w:val="18"/>
                <w:highlight w:val="none"/>
                <w:lang w:bidi="ar"/>
              </w:rPr>
              <w:t>因子</w:t>
            </w:r>
          </w:p>
        </w:tc>
        <w:tc>
          <w:tcPr>
            <w:tcW w:w="22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监测</w:t>
            </w:r>
          </w:p>
          <w:p>
            <w:pPr>
              <w:widowControl/>
              <w:jc w:val="center"/>
              <w:textAlignment w:val="center"/>
              <w:rPr>
                <w:color w:val="auto"/>
                <w:kern w:val="0"/>
                <w:sz w:val="18"/>
                <w:szCs w:val="18"/>
                <w:highlight w:val="none"/>
                <w:lang w:bidi="ar"/>
              </w:rPr>
            </w:pPr>
            <w:r>
              <w:rPr>
                <w:color w:val="auto"/>
                <w:kern w:val="0"/>
                <w:sz w:val="18"/>
                <w:szCs w:val="18"/>
                <w:highlight w:val="none"/>
                <w:lang w:bidi="ar"/>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码头卸料</w:t>
            </w:r>
          </w:p>
        </w:tc>
        <w:tc>
          <w:tcPr>
            <w:tcW w:w="621"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卸料*</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无组织</w:t>
            </w:r>
          </w:p>
        </w:tc>
        <w:tc>
          <w:tcPr>
            <w:tcW w:w="11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吨袋或</w:t>
            </w:r>
            <w:r>
              <w:rPr>
                <w:rFonts w:hint="eastAsia"/>
                <w:color w:val="auto"/>
                <w:kern w:val="0"/>
                <w:sz w:val="18"/>
                <w:szCs w:val="18"/>
                <w:highlight w:val="none"/>
                <w:lang w:bidi="ar"/>
              </w:rPr>
              <w:t>集装箱；</w:t>
            </w:r>
            <w:r>
              <w:rPr>
                <w:rFonts w:hint="eastAsia"/>
                <w:color w:val="auto"/>
                <w:sz w:val="18"/>
                <w:szCs w:val="18"/>
                <w:highlight w:val="none"/>
                <w:lang w:val="en-US" w:eastAsia="zh-CN"/>
              </w:rPr>
              <w:t>抓斗四周围挡</w:t>
            </w:r>
            <w:r>
              <w:rPr>
                <w:rFonts w:hint="eastAsia"/>
                <w:color w:val="auto"/>
                <w:kern w:val="0"/>
                <w:sz w:val="18"/>
                <w:szCs w:val="18"/>
                <w:highlight w:val="none"/>
                <w:lang w:bidi="ar"/>
              </w:rPr>
              <w:t>，洒水降尘</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523"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《大气污染物综合排放标准》（GB16297-1996）表2中二级标准及无组织排放限值标准</w:t>
            </w:r>
          </w:p>
        </w:tc>
        <w:tc>
          <w:tcPr>
            <w:tcW w:w="550"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248"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220"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输送扬尘</w:t>
            </w:r>
          </w:p>
        </w:tc>
        <w:tc>
          <w:tcPr>
            <w:tcW w:w="621"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皮带输送*</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有组织</w:t>
            </w:r>
          </w:p>
        </w:tc>
        <w:tc>
          <w:tcPr>
            <w:tcW w:w="11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滤筒除尘器</w:t>
            </w:r>
            <w:r>
              <w:rPr>
                <w:color w:val="auto"/>
                <w:kern w:val="0"/>
                <w:sz w:val="18"/>
                <w:szCs w:val="18"/>
                <w:highlight w:val="none"/>
                <w:lang w:bidi="ar"/>
              </w:rPr>
              <w:t>+15m高排气筒</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86.63</w:t>
            </w:r>
            <w:r>
              <w:rPr>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248"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220"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306"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olor w:val="auto"/>
                <w:kern w:val="0"/>
                <w:sz w:val="18"/>
                <w:szCs w:val="18"/>
                <w:highlight w:val="none"/>
                <w:lang w:val="en-US" w:eastAsia="zh-CN" w:bidi="ar"/>
              </w:rPr>
              <w:t>M-9#</w:t>
            </w:r>
            <w:r>
              <w:rPr>
                <w:rFonts w:hint="eastAsia"/>
                <w:color w:val="auto"/>
                <w:kern w:val="0"/>
                <w:sz w:val="18"/>
                <w:szCs w:val="18"/>
                <w:highlight w:val="none"/>
                <w:lang w:bidi="ar"/>
              </w:rPr>
              <w:t>转运站</w:t>
            </w:r>
          </w:p>
        </w:tc>
        <w:tc>
          <w:tcPr>
            <w:tcW w:w="621"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olor w:val="auto"/>
                <w:kern w:val="0"/>
                <w:sz w:val="18"/>
                <w:szCs w:val="18"/>
                <w:highlight w:val="none"/>
                <w:lang w:bidi="ar"/>
              </w:rPr>
              <w:t>成品转运</w:t>
            </w:r>
          </w:p>
        </w:tc>
        <w:tc>
          <w:tcPr>
            <w:tcW w:w="306" w:type="pct"/>
            <w:shd w:val="clear" w:color="auto" w:fill="auto"/>
            <w:vAlign w:val="center"/>
          </w:tcPr>
          <w:p>
            <w:pPr>
              <w:widowControl/>
              <w:jc w:val="center"/>
              <w:textAlignment w:val="center"/>
              <w:rPr>
                <w:rFonts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颗粒物</w:t>
            </w:r>
          </w:p>
        </w:tc>
        <w:tc>
          <w:tcPr>
            <w:tcW w:w="292"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有组织</w:t>
            </w:r>
          </w:p>
        </w:tc>
        <w:tc>
          <w:tcPr>
            <w:tcW w:w="1119"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olor w:val="auto"/>
                <w:kern w:val="0"/>
                <w:sz w:val="18"/>
                <w:szCs w:val="18"/>
                <w:highlight w:val="none"/>
                <w:lang w:val="en-US" w:eastAsia="zh-CN" w:bidi="ar"/>
              </w:rPr>
              <w:t>塑烧板</w:t>
            </w:r>
            <w:r>
              <w:rPr>
                <w:rFonts w:hint="eastAsia"/>
                <w:color w:val="auto"/>
                <w:kern w:val="0"/>
                <w:sz w:val="18"/>
                <w:szCs w:val="18"/>
                <w:highlight w:val="none"/>
                <w:lang w:bidi="ar"/>
              </w:rPr>
              <w:t>除尘器</w:t>
            </w:r>
            <w:r>
              <w:rPr>
                <w:color w:val="auto"/>
                <w:kern w:val="0"/>
                <w:sz w:val="18"/>
                <w:szCs w:val="18"/>
                <w:highlight w:val="none"/>
                <w:lang w:bidi="ar"/>
              </w:rPr>
              <w:t>+15m高排气筒</w:t>
            </w:r>
          </w:p>
        </w:tc>
        <w:tc>
          <w:tcPr>
            <w:tcW w:w="235"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olor w:val="auto"/>
                <w:kern w:val="0"/>
                <w:sz w:val="18"/>
                <w:szCs w:val="18"/>
                <w:highlight w:val="none"/>
                <w:lang w:val="en-US" w:eastAsia="zh-CN" w:bidi="ar"/>
              </w:rPr>
              <w:t>99.5</w:t>
            </w:r>
            <w:r>
              <w:rPr>
                <w:color w:val="auto"/>
                <w:kern w:val="0"/>
                <w:sz w:val="18"/>
                <w:szCs w:val="18"/>
                <w:highlight w:val="none"/>
                <w:lang w:bidi="ar"/>
              </w:rPr>
              <w:t>%</w:t>
            </w:r>
          </w:p>
        </w:tc>
        <w:tc>
          <w:tcPr>
            <w:tcW w:w="358"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是</w:t>
            </w:r>
          </w:p>
        </w:tc>
        <w:tc>
          <w:tcPr>
            <w:tcW w:w="219"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DA00</w:t>
            </w:r>
            <w:r>
              <w:rPr>
                <w:rFonts w:hint="eastAsia"/>
                <w:color w:val="auto"/>
                <w:kern w:val="0"/>
                <w:sz w:val="18"/>
                <w:szCs w:val="18"/>
                <w:highlight w:val="none"/>
                <w:lang w:val="en-US" w:eastAsia="zh-CN" w:bidi="ar"/>
              </w:rPr>
              <w:t>1</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DA00</w:t>
            </w:r>
            <w:r>
              <w:rPr>
                <w:rFonts w:hint="eastAsia"/>
                <w:color w:val="auto"/>
                <w:kern w:val="0"/>
                <w:sz w:val="18"/>
                <w:szCs w:val="18"/>
                <w:highlight w:val="none"/>
                <w:lang w:val="en-US" w:eastAsia="zh-CN" w:bidi="ar"/>
              </w:rPr>
              <w:t>1</w:t>
            </w:r>
          </w:p>
        </w:tc>
        <w:tc>
          <w:tcPr>
            <w:tcW w:w="248"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rFonts w:hint="eastAsia"/>
                <w:color w:val="auto"/>
                <w:kern w:val="0"/>
                <w:sz w:val="18"/>
                <w:szCs w:val="18"/>
                <w:highlight w:val="none"/>
                <w:lang w:bidi="ar"/>
              </w:rPr>
              <w:t>颗粒物</w:t>
            </w:r>
          </w:p>
        </w:tc>
        <w:tc>
          <w:tcPr>
            <w:tcW w:w="220" w:type="pct"/>
            <w:shd w:val="clear" w:color="auto" w:fill="auto"/>
            <w:vAlign w:val="center"/>
          </w:tcPr>
          <w:p>
            <w:pPr>
              <w:widowControl/>
              <w:jc w:val="center"/>
              <w:textAlignment w:val="center"/>
              <w:rPr>
                <w:rFonts w:hint="eastAsia" w:ascii="Times New Roman" w:hAnsi="Times New Roman" w:eastAsia="宋体" w:cs="Times New Roman"/>
                <w:color w:val="auto"/>
                <w:kern w:val="0"/>
                <w:sz w:val="18"/>
                <w:szCs w:val="18"/>
                <w:highlight w:val="none"/>
                <w:lang w:val="en-US" w:eastAsia="zh-CN" w:bidi="ar"/>
              </w:rPr>
            </w:pPr>
            <w:r>
              <w:rPr>
                <w:color w:val="auto"/>
                <w:kern w:val="0"/>
                <w:sz w:val="18"/>
                <w:szCs w:val="18"/>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306" w:type="pct"/>
            <w:shd w:val="clear" w:color="auto" w:fill="auto"/>
            <w:vAlign w:val="center"/>
          </w:tcPr>
          <w:p>
            <w:pPr>
              <w:widowControl/>
              <w:jc w:val="center"/>
              <w:textAlignment w:val="center"/>
              <w:rPr>
                <w:rFonts w:hint="eastAsia"/>
                <w:color w:val="auto"/>
                <w:kern w:val="0"/>
                <w:sz w:val="18"/>
                <w:szCs w:val="18"/>
                <w:highlight w:val="none"/>
                <w:lang w:val="en-US" w:eastAsia="zh-CN" w:bidi="ar"/>
              </w:rPr>
            </w:pPr>
            <w:r>
              <w:rPr>
                <w:rFonts w:hint="eastAsia"/>
                <w:color w:val="auto"/>
                <w:sz w:val="18"/>
                <w:szCs w:val="18"/>
                <w:highlight w:val="none"/>
                <w:lang w:val="en-US" w:eastAsia="zh-CN"/>
              </w:rPr>
              <w:t>卸矿站</w:t>
            </w:r>
          </w:p>
        </w:tc>
        <w:tc>
          <w:tcPr>
            <w:tcW w:w="621" w:type="pct"/>
            <w:shd w:val="clear" w:color="auto" w:fill="auto"/>
            <w:vAlign w:val="center"/>
          </w:tcPr>
          <w:p>
            <w:pPr>
              <w:widowControl/>
              <w:jc w:val="center"/>
              <w:textAlignment w:val="center"/>
              <w:rPr>
                <w:rFonts w:hint="eastAsia"/>
                <w:color w:val="auto"/>
                <w:kern w:val="0"/>
                <w:sz w:val="18"/>
                <w:szCs w:val="18"/>
                <w:highlight w:val="none"/>
                <w:lang w:bidi="ar"/>
              </w:rPr>
            </w:pPr>
            <w:r>
              <w:rPr>
                <w:rFonts w:hint="eastAsia"/>
                <w:color w:val="auto"/>
                <w:sz w:val="18"/>
                <w:szCs w:val="18"/>
                <w:highlight w:val="none"/>
                <w:lang w:val="en-US" w:eastAsia="zh-CN"/>
              </w:rPr>
              <w:t>原料和成品转运过程</w:t>
            </w:r>
            <w:r>
              <w:rPr>
                <w:rFonts w:hint="eastAsia"/>
                <w:color w:val="auto"/>
                <w:sz w:val="18"/>
                <w:szCs w:val="18"/>
                <w:highlight w:val="none"/>
              </w:rPr>
              <w:t>粉尘</w:t>
            </w:r>
          </w:p>
        </w:tc>
        <w:tc>
          <w:tcPr>
            <w:tcW w:w="306" w:type="pct"/>
            <w:shd w:val="clear" w:color="auto" w:fill="auto"/>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shd w:val="clear" w:color="auto" w:fill="auto"/>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有组织</w:t>
            </w:r>
          </w:p>
        </w:tc>
        <w:tc>
          <w:tcPr>
            <w:tcW w:w="1119" w:type="pct"/>
            <w:shd w:val="clear" w:color="auto" w:fill="auto"/>
            <w:vAlign w:val="center"/>
          </w:tcPr>
          <w:p>
            <w:pPr>
              <w:widowControl/>
              <w:jc w:val="center"/>
              <w:textAlignment w:val="center"/>
              <w:rPr>
                <w:rFonts w:hint="eastAsia"/>
                <w:color w:val="auto"/>
                <w:kern w:val="0"/>
                <w:sz w:val="18"/>
                <w:szCs w:val="18"/>
                <w:highlight w:val="none"/>
                <w:lang w:bidi="ar"/>
              </w:rPr>
            </w:pPr>
            <w:r>
              <w:rPr>
                <w:rFonts w:hint="eastAsia"/>
                <w:color w:val="auto"/>
                <w:kern w:val="0"/>
                <w:sz w:val="18"/>
                <w:szCs w:val="18"/>
                <w:highlight w:val="none"/>
                <w:lang w:val="en-US" w:eastAsia="zh-CN" w:bidi="ar"/>
              </w:rPr>
              <w:t>塑烧板</w:t>
            </w:r>
            <w:r>
              <w:rPr>
                <w:rFonts w:hint="eastAsia"/>
                <w:color w:val="auto"/>
                <w:kern w:val="0"/>
                <w:sz w:val="18"/>
                <w:szCs w:val="18"/>
                <w:highlight w:val="none"/>
                <w:lang w:bidi="ar"/>
              </w:rPr>
              <w:t>除尘器</w:t>
            </w:r>
            <w:r>
              <w:rPr>
                <w:color w:val="auto"/>
                <w:kern w:val="0"/>
                <w:sz w:val="18"/>
                <w:szCs w:val="18"/>
                <w:highlight w:val="none"/>
                <w:lang w:bidi="ar"/>
              </w:rPr>
              <w:t>+15m高排气筒</w:t>
            </w:r>
          </w:p>
        </w:tc>
        <w:tc>
          <w:tcPr>
            <w:tcW w:w="235" w:type="pct"/>
            <w:shd w:val="clear" w:color="auto" w:fill="auto"/>
            <w:vAlign w:val="center"/>
          </w:tcPr>
          <w:p>
            <w:pPr>
              <w:widowControl/>
              <w:jc w:val="center"/>
              <w:textAlignment w:val="center"/>
              <w:rPr>
                <w:rFonts w:hint="eastAsia"/>
                <w:color w:val="auto"/>
                <w:kern w:val="0"/>
                <w:sz w:val="18"/>
                <w:szCs w:val="18"/>
                <w:highlight w:val="none"/>
                <w:lang w:val="en-US" w:eastAsia="zh-CN" w:bidi="ar"/>
              </w:rPr>
            </w:pPr>
            <w:r>
              <w:rPr>
                <w:rFonts w:hint="eastAsia"/>
                <w:color w:val="auto"/>
                <w:kern w:val="0"/>
                <w:sz w:val="18"/>
                <w:szCs w:val="18"/>
                <w:highlight w:val="none"/>
                <w:lang w:val="en-US" w:eastAsia="zh-CN" w:bidi="ar"/>
              </w:rPr>
              <w:t>99.5%</w:t>
            </w:r>
          </w:p>
        </w:tc>
        <w:tc>
          <w:tcPr>
            <w:tcW w:w="358" w:type="pct"/>
            <w:shd w:val="clear" w:color="auto" w:fill="auto"/>
            <w:vAlign w:val="center"/>
          </w:tcPr>
          <w:p>
            <w:pPr>
              <w:widowControl/>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eastAsia="zh-CN" w:bidi="ar"/>
              </w:rPr>
              <w:t>是</w:t>
            </w:r>
          </w:p>
        </w:tc>
        <w:tc>
          <w:tcPr>
            <w:tcW w:w="219" w:type="pct"/>
            <w:shd w:val="clear" w:color="auto" w:fill="auto"/>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DA00</w:t>
            </w:r>
            <w:r>
              <w:rPr>
                <w:rFonts w:hint="eastAsia"/>
                <w:color w:val="auto"/>
                <w:kern w:val="0"/>
                <w:sz w:val="18"/>
                <w:szCs w:val="18"/>
                <w:highlight w:val="none"/>
                <w:lang w:val="en-US" w:eastAsia="zh-CN" w:bidi="ar"/>
              </w:rPr>
              <w:t>2</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shd w:val="clear" w:color="auto" w:fill="auto"/>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DA00</w:t>
            </w:r>
            <w:r>
              <w:rPr>
                <w:rFonts w:hint="eastAsia"/>
                <w:color w:val="auto"/>
                <w:kern w:val="0"/>
                <w:sz w:val="18"/>
                <w:szCs w:val="18"/>
                <w:highlight w:val="none"/>
                <w:lang w:val="en-US" w:eastAsia="zh-CN" w:bidi="ar"/>
              </w:rPr>
              <w:t>2</w:t>
            </w:r>
          </w:p>
        </w:tc>
        <w:tc>
          <w:tcPr>
            <w:tcW w:w="248" w:type="pct"/>
            <w:shd w:val="clear" w:color="auto" w:fill="auto"/>
            <w:vAlign w:val="center"/>
          </w:tcPr>
          <w:p>
            <w:pPr>
              <w:widowControl/>
              <w:jc w:val="center"/>
              <w:textAlignment w:val="center"/>
              <w:rPr>
                <w:rFonts w:hint="eastAsia"/>
                <w:color w:val="auto"/>
                <w:kern w:val="0"/>
                <w:sz w:val="18"/>
                <w:szCs w:val="18"/>
                <w:highlight w:val="none"/>
                <w:lang w:bidi="ar"/>
              </w:rPr>
            </w:pPr>
            <w:r>
              <w:rPr>
                <w:rFonts w:hint="eastAsia"/>
                <w:color w:val="auto"/>
                <w:kern w:val="0"/>
                <w:sz w:val="18"/>
                <w:szCs w:val="18"/>
                <w:highlight w:val="none"/>
                <w:lang w:bidi="ar"/>
              </w:rPr>
              <w:t>颗粒物</w:t>
            </w:r>
          </w:p>
        </w:tc>
        <w:tc>
          <w:tcPr>
            <w:tcW w:w="220" w:type="pct"/>
            <w:shd w:val="clear" w:color="auto" w:fill="auto"/>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8" w:hRule="atLeast"/>
        </w:trPr>
        <w:tc>
          <w:tcPr>
            <w:tcW w:w="306" w:type="pct"/>
            <w:vAlign w:val="center"/>
          </w:tcPr>
          <w:p>
            <w:pPr>
              <w:widowControl/>
              <w:jc w:val="center"/>
              <w:textAlignment w:val="center"/>
              <w:rPr>
                <w:rFonts w:hint="eastAsia" w:eastAsia="宋体"/>
                <w:color w:val="auto"/>
                <w:kern w:val="0"/>
                <w:sz w:val="18"/>
                <w:szCs w:val="18"/>
                <w:highlight w:val="none"/>
                <w:lang w:eastAsia="zh-CN" w:bidi="ar"/>
              </w:rPr>
            </w:pPr>
            <w:r>
              <w:rPr>
                <w:rFonts w:hint="eastAsia"/>
                <w:color w:val="auto"/>
                <w:kern w:val="0"/>
                <w:sz w:val="18"/>
                <w:szCs w:val="18"/>
                <w:highlight w:val="none"/>
                <w:lang w:val="en-US" w:eastAsia="zh-CN" w:bidi="ar"/>
              </w:rPr>
              <w:t>卸矿站</w:t>
            </w:r>
          </w:p>
        </w:tc>
        <w:tc>
          <w:tcPr>
            <w:tcW w:w="621"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堆场</w:t>
            </w:r>
            <w:r>
              <w:rPr>
                <w:rFonts w:hint="eastAsia"/>
                <w:color w:val="auto"/>
                <w:kern w:val="0"/>
                <w:sz w:val="18"/>
                <w:szCs w:val="18"/>
                <w:highlight w:val="none"/>
                <w:lang w:val="en-US" w:eastAsia="zh-CN" w:bidi="ar"/>
              </w:rPr>
              <w:t>装卸</w:t>
            </w:r>
            <w:r>
              <w:rPr>
                <w:color w:val="auto"/>
                <w:kern w:val="0"/>
                <w:sz w:val="18"/>
                <w:szCs w:val="18"/>
                <w:highlight w:val="none"/>
                <w:lang w:bidi="ar"/>
              </w:rPr>
              <w:t>扬尘</w:t>
            </w:r>
            <w:r>
              <w:rPr>
                <w:rFonts w:hint="eastAsia"/>
                <w:color w:val="auto"/>
                <w:kern w:val="0"/>
                <w:sz w:val="18"/>
                <w:szCs w:val="18"/>
                <w:highlight w:val="none"/>
                <w:lang w:eastAsia="zh-CN" w:bidi="ar"/>
              </w:rPr>
              <w:t>，</w:t>
            </w:r>
            <w:r>
              <w:rPr>
                <w:rFonts w:hint="eastAsia"/>
                <w:color w:val="auto"/>
                <w:kern w:val="0"/>
                <w:sz w:val="18"/>
                <w:szCs w:val="18"/>
                <w:highlight w:val="none"/>
                <w:lang w:val="en-US" w:eastAsia="zh-CN" w:bidi="ar"/>
              </w:rPr>
              <w:t>拆包、输送机</w:t>
            </w:r>
            <w:r>
              <w:rPr>
                <w:rFonts w:hint="eastAsia"/>
                <w:color w:val="auto"/>
                <w:kern w:val="0"/>
                <w:sz w:val="18"/>
                <w:szCs w:val="18"/>
                <w:highlight w:val="none"/>
                <w:lang w:bidi="ar"/>
              </w:rPr>
              <w:t>输送粉尘</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无组织</w:t>
            </w:r>
          </w:p>
        </w:tc>
        <w:tc>
          <w:tcPr>
            <w:tcW w:w="11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智能高压喷雾抑尘装置，对装卸粉尘、皮带卸料点粉尘、配料粉尘进行喷雾降尘</w:t>
            </w:r>
            <w:r>
              <w:rPr>
                <w:color w:val="auto"/>
                <w:kern w:val="0"/>
                <w:sz w:val="18"/>
                <w:szCs w:val="18"/>
                <w:highlight w:val="none"/>
                <w:lang w:bidi="ar"/>
              </w:rPr>
              <w:t>，封闭车间沉降</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99</w:t>
            </w:r>
            <w:r>
              <w:rPr>
                <w:rFonts w:hint="eastAsia"/>
                <w:color w:val="auto"/>
                <w:kern w:val="0"/>
                <w:sz w:val="18"/>
                <w:szCs w:val="18"/>
                <w:highlight w:val="none"/>
                <w:lang w:val="en-US" w:eastAsia="zh-CN" w:bidi="ar"/>
              </w:rPr>
              <w:t>.72</w:t>
            </w:r>
            <w:r>
              <w:rPr>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厂界上风向1个点，下风向3个点；有组织废气排气筒</w:t>
            </w:r>
          </w:p>
        </w:tc>
        <w:tc>
          <w:tcPr>
            <w:tcW w:w="24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2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混矿库</w:t>
            </w:r>
            <w:r>
              <w:rPr>
                <w:rFonts w:hint="eastAsia"/>
                <w:color w:val="auto"/>
                <w:kern w:val="0"/>
                <w:sz w:val="18"/>
                <w:szCs w:val="18"/>
                <w:highlight w:val="none"/>
                <w:lang w:bidi="ar"/>
              </w:rPr>
              <w:t>配料</w:t>
            </w:r>
          </w:p>
        </w:tc>
        <w:tc>
          <w:tcPr>
            <w:tcW w:w="621"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配料</w:t>
            </w:r>
            <w:r>
              <w:rPr>
                <w:color w:val="auto"/>
                <w:kern w:val="0"/>
                <w:sz w:val="18"/>
                <w:szCs w:val="18"/>
                <w:highlight w:val="none"/>
                <w:lang w:bidi="ar"/>
              </w:rPr>
              <w:t>粉尘</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无</w:t>
            </w:r>
            <w:r>
              <w:rPr>
                <w:color w:val="auto"/>
                <w:kern w:val="0"/>
                <w:sz w:val="18"/>
                <w:szCs w:val="18"/>
                <w:highlight w:val="none"/>
                <w:lang w:bidi="ar"/>
              </w:rPr>
              <w:t>组织</w:t>
            </w:r>
          </w:p>
        </w:tc>
        <w:tc>
          <w:tcPr>
            <w:tcW w:w="11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产尘点智能高压喷雾抑尘装置，</w:t>
            </w:r>
            <w:r>
              <w:rPr>
                <w:color w:val="auto"/>
                <w:kern w:val="0"/>
                <w:sz w:val="18"/>
                <w:szCs w:val="18"/>
                <w:highlight w:val="none"/>
                <w:lang w:bidi="ar"/>
              </w:rPr>
              <w:t>封闭车间沉降</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99</w:t>
            </w:r>
            <w:r>
              <w:rPr>
                <w:rFonts w:hint="eastAsia"/>
                <w:color w:val="auto"/>
                <w:kern w:val="0"/>
                <w:sz w:val="18"/>
                <w:szCs w:val="18"/>
                <w:highlight w:val="none"/>
                <w:lang w:val="en-US" w:eastAsia="zh-CN" w:bidi="ar"/>
              </w:rPr>
              <w:t>.72</w:t>
            </w:r>
            <w:r>
              <w:rPr>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248" w:type="pct"/>
            <w:vMerge w:val="restar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颗粒物</w:t>
            </w:r>
          </w:p>
        </w:tc>
        <w:tc>
          <w:tcPr>
            <w:tcW w:w="220"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混矿库原料、成品</w:t>
            </w:r>
            <w:r>
              <w:rPr>
                <w:rFonts w:hint="eastAsia"/>
                <w:color w:val="auto"/>
                <w:kern w:val="0"/>
                <w:sz w:val="18"/>
                <w:szCs w:val="18"/>
                <w:highlight w:val="none"/>
                <w:lang w:bidi="ar"/>
              </w:rPr>
              <w:t>输送</w:t>
            </w:r>
          </w:p>
        </w:tc>
        <w:tc>
          <w:tcPr>
            <w:tcW w:w="621"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混矿库S-2~6、S-9、S-14号等输送机卸料点及西侧配料皮带秤卸料点</w:t>
            </w:r>
          </w:p>
        </w:tc>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有</w:t>
            </w:r>
            <w:r>
              <w:rPr>
                <w:color w:val="auto"/>
                <w:kern w:val="0"/>
                <w:sz w:val="18"/>
                <w:szCs w:val="18"/>
                <w:highlight w:val="none"/>
                <w:lang w:bidi="ar"/>
              </w:rPr>
              <w:t>组织</w:t>
            </w:r>
          </w:p>
        </w:tc>
        <w:tc>
          <w:tcPr>
            <w:tcW w:w="11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集气+</w:t>
            </w:r>
            <w:r>
              <w:rPr>
                <w:rFonts w:hint="eastAsia"/>
                <w:color w:val="auto"/>
                <w:kern w:val="0"/>
                <w:sz w:val="18"/>
                <w:szCs w:val="18"/>
                <w:highlight w:val="none"/>
                <w:lang w:val="en-US" w:eastAsia="zh-CN" w:bidi="ar"/>
              </w:rPr>
              <w:t>塑烧板</w:t>
            </w:r>
            <w:r>
              <w:rPr>
                <w:rFonts w:hint="eastAsia"/>
                <w:color w:val="auto"/>
                <w:kern w:val="0"/>
                <w:sz w:val="18"/>
                <w:szCs w:val="18"/>
                <w:highlight w:val="none"/>
                <w:lang w:bidi="ar"/>
              </w:rPr>
              <w:t>除尘器</w:t>
            </w:r>
            <w:r>
              <w:rPr>
                <w:color w:val="auto"/>
                <w:kern w:val="0"/>
                <w:sz w:val="18"/>
                <w:szCs w:val="18"/>
                <w:highlight w:val="none"/>
                <w:lang w:bidi="ar"/>
              </w:rPr>
              <w:t>+15m高排气筒排放</w:t>
            </w:r>
            <w:r>
              <w:rPr>
                <w:rFonts w:hint="eastAsia"/>
                <w:color w:val="auto"/>
                <w:kern w:val="0"/>
                <w:sz w:val="18"/>
                <w:szCs w:val="18"/>
                <w:highlight w:val="none"/>
                <w:lang w:bidi="ar"/>
              </w:rPr>
              <w:t>；</w:t>
            </w:r>
            <w:r>
              <w:rPr>
                <w:color w:val="auto"/>
                <w:kern w:val="0"/>
                <w:sz w:val="18"/>
                <w:szCs w:val="18"/>
                <w:highlight w:val="none"/>
                <w:lang w:bidi="ar"/>
              </w:rPr>
              <w:t>喷雾降尘，封闭车间沉降</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99</w:t>
            </w:r>
            <w:r>
              <w:rPr>
                <w:rFonts w:hint="eastAsia"/>
                <w:color w:val="auto"/>
                <w:kern w:val="0"/>
                <w:sz w:val="18"/>
                <w:szCs w:val="18"/>
                <w:highlight w:val="none"/>
                <w:lang w:val="en-US" w:eastAsia="zh-CN" w:bidi="ar"/>
              </w:rPr>
              <w:t>.5</w:t>
            </w:r>
            <w:r>
              <w:rPr>
                <w:rFonts w:hint="eastAsia"/>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是</w:t>
            </w:r>
          </w:p>
        </w:tc>
        <w:tc>
          <w:tcPr>
            <w:tcW w:w="219" w:type="pct"/>
            <w:vAlign w:val="center"/>
          </w:tcPr>
          <w:p>
            <w:pPr>
              <w:widowControl/>
              <w:jc w:val="center"/>
              <w:textAlignment w:val="center"/>
              <w:rPr>
                <w:rFonts w:hint="eastAsia" w:eastAsia="宋体"/>
                <w:color w:val="auto"/>
                <w:kern w:val="0"/>
                <w:sz w:val="18"/>
                <w:szCs w:val="18"/>
                <w:highlight w:val="none"/>
                <w:lang w:eastAsia="zh-CN" w:bidi="ar"/>
              </w:rPr>
            </w:pPr>
            <w:r>
              <w:rPr>
                <w:color w:val="auto"/>
                <w:kern w:val="0"/>
                <w:sz w:val="18"/>
                <w:szCs w:val="18"/>
                <w:highlight w:val="none"/>
                <w:lang w:bidi="ar"/>
              </w:rPr>
              <w:t>DA00</w:t>
            </w:r>
            <w:r>
              <w:rPr>
                <w:rFonts w:hint="eastAsia"/>
                <w:color w:val="auto"/>
                <w:kern w:val="0"/>
                <w:sz w:val="18"/>
                <w:szCs w:val="18"/>
                <w:highlight w:val="none"/>
                <w:lang w:val="en-US" w:eastAsia="zh-CN" w:bidi="ar"/>
              </w:rPr>
              <w:t>3</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DA00</w:t>
            </w:r>
            <w:r>
              <w:rPr>
                <w:rFonts w:hint="eastAsia"/>
                <w:color w:val="auto"/>
                <w:kern w:val="0"/>
                <w:sz w:val="18"/>
                <w:szCs w:val="18"/>
                <w:highlight w:val="none"/>
                <w:lang w:val="en-US" w:eastAsia="zh-CN" w:bidi="ar"/>
              </w:rPr>
              <w:t>3</w:t>
            </w:r>
          </w:p>
        </w:tc>
        <w:tc>
          <w:tcPr>
            <w:tcW w:w="248" w:type="pct"/>
            <w:vMerge w:val="continue"/>
            <w:vAlign w:val="center"/>
          </w:tcPr>
          <w:p>
            <w:pPr>
              <w:widowControl/>
              <w:jc w:val="center"/>
              <w:textAlignment w:val="center"/>
              <w:rPr>
                <w:color w:val="auto"/>
                <w:kern w:val="0"/>
                <w:sz w:val="18"/>
                <w:szCs w:val="18"/>
                <w:highlight w:val="none"/>
                <w:lang w:bidi="ar"/>
              </w:rPr>
            </w:pPr>
          </w:p>
        </w:tc>
        <w:tc>
          <w:tcPr>
            <w:tcW w:w="220" w:type="pct"/>
            <w:vMerge w:val="continue"/>
            <w:vAlign w:val="center"/>
          </w:tcPr>
          <w:p>
            <w:pPr>
              <w:widowControl/>
              <w:jc w:val="center"/>
              <w:textAlignment w:val="center"/>
              <w:rPr>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混矿库原料、成品</w:t>
            </w:r>
            <w:r>
              <w:rPr>
                <w:rFonts w:hint="eastAsia"/>
                <w:color w:val="auto"/>
                <w:kern w:val="0"/>
                <w:sz w:val="18"/>
                <w:szCs w:val="18"/>
                <w:highlight w:val="none"/>
                <w:lang w:bidi="ar"/>
              </w:rPr>
              <w:t>输送</w:t>
            </w:r>
          </w:p>
        </w:tc>
        <w:tc>
          <w:tcPr>
            <w:tcW w:w="621" w:type="pct"/>
            <w:vAlign w:val="center"/>
          </w:tcPr>
          <w:p>
            <w:pPr>
              <w:widowControl/>
              <w:jc w:val="center"/>
              <w:textAlignment w:val="center"/>
              <w:rPr>
                <w:rFonts w:hint="default" w:eastAsia="宋体"/>
                <w:color w:val="auto"/>
                <w:kern w:val="0"/>
                <w:sz w:val="18"/>
                <w:szCs w:val="18"/>
                <w:highlight w:val="none"/>
                <w:lang w:val="en-US" w:eastAsia="zh-CN" w:bidi="ar"/>
              </w:rPr>
            </w:pPr>
            <w:r>
              <w:rPr>
                <w:rFonts w:hint="default" w:eastAsia="宋体"/>
                <w:color w:val="auto"/>
                <w:kern w:val="0"/>
                <w:sz w:val="18"/>
                <w:szCs w:val="18"/>
                <w:highlight w:val="none"/>
                <w:lang w:val="en-US" w:eastAsia="zh-CN" w:bidi="ar"/>
              </w:rPr>
              <w:t>4#胶带输送机，混矿库S-1、S-7~8、S-10、S-15等输送机卸料点及东侧配料皮带秤卸料点</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有</w:t>
            </w:r>
            <w:r>
              <w:rPr>
                <w:color w:val="auto"/>
                <w:kern w:val="0"/>
                <w:sz w:val="18"/>
                <w:szCs w:val="18"/>
                <w:highlight w:val="none"/>
                <w:lang w:bidi="ar"/>
              </w:rPr>
              <w:t>组织</w:t>
            </w:r>
          </w:p>
        </w:tc>
        <w:tc>
          <w:tcPr>
            <w:tcW w:w="11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集气+</w:t>
            </w:r>
            <w:r>
              <w:rPr>
                <w:rFonts w:hint="eastAsia"/>
                <w:color w:val="auto"/>
                <w:kern w:val="0"/>
                <w:sz w:val="18"/>
                <w:szCs w:val="18"/>
                <w:highlight w:val="none"/>
                <w:lang w:val="en-US" w:eastAsia="zh-CN" w:bidi="ar"/>
              </w:rPr>
              <w:t>塑烧板</w:t>
            </w:r>
            <w:r>
              <w:rPr>
                <w:rFonts w:hint="eastAsia"/>
                <w:color w:val="auto"/>
                <w:kern w:val="0"/>
                <w:sz w:val="18"/>
                <w:szCs w:val="18"/>
                <w:highlight w:val="none"/>
                <w:lang w:bidi="ar"/>
              </w:rPr>
              <w:t>除尘器</w:t>
            </w:r>
            <w:r>
              <w:rPr>
                <w:color w:val="auto"/>
                <w:kern w:val="0"/>
                <w:sz w:val="18"/>
                <w:szCs w:val="18"/>
                <w:highlight w:val="none"/>
                <w:lang w:bidi="ar"/>
              </w:rPr>
              <w:t>+15m高排气筒排放</w:t>
            </w:r>
            <w:r>
              <w:rPr>
                <w:rFonts w:hint="eastAsia"/>
                <w:color w:val="auto"/>
                <w:kern w:val="0"/>
                <w:sz w:val="18"/>
                <w:szCs w:val="18"/>
                <w:highlight w:val="none"/>
                <w:lang w:bidi="ar"/>
              </w:rPr>
              <w:t>；</w:t>
            </w:r>
            <w:r>
              <w:rPr>
                <w:color w:val="auto"/>
                <w:kern w:val="0"/>
                <w:sz w:val="18"/>
                <w:szCs w:val="18"/>
                <w:highlight w:val="none"/>
                <w:lang w:bidi="ar"/>
              </w:rPr>
              <w:t>喷雾降尘，封闭车间沉降</w:t>
            </w:r>
          </w:p>
        </w:tc>
        <w:tc>
          <w:tcPr>
            <w:tcW w:w="23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99</w:t>
            </w:r>
            <w:r>
              <w:rPr>
                <w:rFonts w:hint="eastAsia"/>
                <w:color w:val="auto"/>
                <w:kern w:val="0"/>
                <w:sz w:val="18"/>
                <w:szCs w:val="18"/>
                <w:highlight w:val="none"/>
                <w:lang w:val="en-US" w:eastAsia="zh-CN" w:bidi="ar"/>
              </w:rPr>
              <w:t>.5</w:t>
            </w:r>
            <w:r>
              <w:rPr>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DA00</w:t>
            </w:r>
            <w:r>
              <w:rPr>
                <w:rFonts w:hint="eastAsia"/>
                <w:color w:val="auto"/>
                <w:kern w:val="0"/>
                <w:sz w:val="18"/>
                <w:szCs w:val="18"/>
                <w:highlight w:val="none"/>
                <w:lang w:val="en-US" w:eastAsia="zh-CN" w:bidi="ar"/>
              </w:rPr>
              <w:t>4</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DA00</w:t>
            </w:r>
            <w:r>
              <w:rPr>
                <w:rFonts w:hint="eastAsia"/>
                <w:color w:val="auto"/>
                <w:kern w:val="0"/>
                <w:sz w:val="18"/>
                <w:szCs w:val="18"/>
                <w:highlight w:val="none"/>
                <w:lang w:val="en-US" w:eastAsia="zh-CN" w:bidi="ar"/>
              </w:rPr>
              <w:t>4</w:t>
            </w:r>
          </w:p>
        </w:tc>
        <w:tc>
          <w:tcPr>
            <w:tcW w:w="248" w:type="pct"/>
            <w:vMerge w:val="continue"/>
            <w:vAlign w:val="center"/>
          </w:tcPr>
          <w:p>
            <w:pPr>
              <w:widowControl/>
              <w:jc w:val="center"/>
              <w:textAlignment w:val="center"/>
              <w:rPr>
                <w:color w:val="auto"/>
                <w:kern w:val="0"/>
                <w:sz w:val="18"/>
                <w:szCs w:val="18"/>
                <w:highlight w:val="none"/>
                <w:lang w:bidi="ar"/>
              </w:rPr>
            </w:pPr>
          </w:p>
        </w:tc>
        <w:tc>
          <w:tcPr>
            <w:tcW w:w="220" w:type="pct"/>
            <w:vMerge w:val="continue"/>
            <w:vAlign w:val="center"/>
          </w:tcPr>
          <w:p>
            <w:pPr>
              <w:widowControl/>
              <w:jc w:val="center"/>
              <w:textAlignment w:val="center"/>
              <w:rPr>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制样</w:t>
            </w:r>
          </w:p>
        </w:tc>
        <w:tc>
          <w:tcPr>
            <w:tcW w:w="621"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制样室</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无</w:t>
            </w:r>
            <w:r>
              <w:rPr>
                <w:color w:val="auto"/>
                <w:kern w:val="0"/>
                <w:sz w:val="18"/>
                <w:szCs w:val="18"/>
                <w:highlight w:val="none"/>
                <w:lang w:bidi="ar"/>
              </w:rPr>
              <w:t>组织</w:t>
            </w:r>
          </w:p>
        </w:tc>
        <w:tc>
          <w:tcPr>
            <w:tcW w:w="1119"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滤筒净化一体机</w:t>
            </w:r>
            <w:r>
              <w:rPr>
                <w:rFonts w:hint="eastAsia"/>
                <w:color w:val="auto"/>
                <w:kern w:val="0"/>
                <w:sz w:val="18"/>
                <w:szCs w:val="18"/>
                <w:highlight w:val="none"/>
                <w:lang w:bidi="ar"/>
              </w:rPr>
              <w:t>处理后库内排放</w:t>
            </w:r>
          </w:p>
        </w:tc>
        <w:tc>
          <w:tcPr>
            <w:tcW w:w="235"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99%</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Merge w:val="restar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厂界上风向1个点，下风向3个点；有组织废气排气筒</w:t>
            </w:r>
          </w:p>
        </w:tc>
        <w:tc>
          <w:tcPr>
            <w:tcW w:w="248" w:type="pct"/>
            <w:vMerge w:val="continue"/>
            <w:vAlign w:val="center"/>
          </w:tcPr>
          <w:p>
            <w:pPr>
              <w:widowControl/>
              <w:jc w:val="center"/>
              <w:textAlignment w:val="center"/>
              <w:rPr>
                <w:color w:val="auto"/>
                <w:kern w:val="0"/>
                <w:sz w:val="18"/>
                <w:szCs w:val="18"/>
                <w:highlight w:val="none"/>
                <w:lang w:bidi="ar"/>
              </w:rPr>
            </w:pPr>
          </w:p>
        </w:tc>
        <w:tc>
          <w:tcPr>
            <w:tcW w:w="220" w:type="pct"/>
            <w:vMerge w:val="continue"/>
            <w:vAlign w:val="center"/>
          </w:tcPr>
          <w:p>
            <w:pPr>
              <w:widowControl/>
              <w:jc w:val="center"/>
              <w:textAlignment w:val="center"/>
              <w:rPr>
                <w:color w:val="auto"/>
                <w:kern w:val="0"/>
                <w:sz w:val="18"/>
                <w:szCs w:val="18"/>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9" w:hRule="atLeast"/>
        </w:trPr>
        <w:tc>
          <w:tcPr>
            <w:tcW w:w="306"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val="en-US" w:eastAsia="zh-CN" w:bidi="ar"/>
              </w:rPr>
              <w:t>混矿库</w:t>
            </w:r>
          </w:p>
        </w:tc>
        <w:tc>
          <w:tcPr>
            <w:tcW w:w="621" w:type="pct"/>
            <w:vAlign w:val="center"/>
          </w:tcPr>
          <w:p>
            <w:pPr>
              <w:widowControl/>
              <w:jc w:val="center"/>
              <w:textAlignment w:val="center"/>
              <w:rPr>
                <w:rFonts w:hint="default" w:eastAsia="宋体"/>
                <w:color w:val="auto"/>
                <w:kern w:val="0"/>
                <w:sz w:val="18"/>
                <w:szCs w:val="18"/>
                <w:highlight w:val="none"/>
                <w:lang w:val="en-US" w:eastAsia="zh-CN" w:bidi="ar"/>
              </w:rPr>
            </w:pPr>
            <w:r>
              <w:rPr>
                <w:rFonts w:hint="eastAsia"/>
                <w:color w:val="auto"/>
                <w:kern w:val="0"/>
                <w:sz w:val="18"/>
                <w:szCs w:val="18"/>
                <w:highlight w:val="none"/>
                <w:lang w:bidi="ar"/>
              </w:rPr>
              <w:t>上</w:t>
            </w:r>
            <w:r>
              <w:rPr>
                <w:color w:val="auto"/>
                <w:kern w:val="0"/>
                <w:sz w:val="18"/>
                <w:szCs w:val="18"/>
                <w:highlight w:val="none"/>
                <w:lang w:bidi="ar"/>
              </w:rPr>
              <w:t>料、落料粉尘</w:t>
            </w:r>
            <w:r>
              <w:rPr>
                <w:rFonts w:hint="eastAsia"/>
                <w:color w:val="auto"/>
                <w:kern w:val="0"/>
                <w:sz w:val="18"/>
                <w:szCs w:val="18"/>
                <w:highlight w:val="none"/>
                <w:lang w:eastAsia="zh-CN" w:bidi="ar"/>
              </w:rPr>
              <w:t>，</w:t>
            </w:r>
            <w:r>
              <w:rPr>
                <w:rFonts w:hint="eastAsia"/>
                <w:color w:val="auto"/>
                <w:kern w:val="0"/>
                <w:sz w:val="18"/>
                <w:szCs w:val="18"/>
                <w:highlight w:val="none"/>
                <w:lang w:val="en-US" w:eastAsia="zh-CN" w:bidi="ar"/>
              </w:rPr>
              <w:t>输送机</w:t>
            </w:r>
            <w:r>
              <w:rPr>
                <w:rFonts w:hint="eastAsia"/>
                <w:color w:val="auto"/>
                <w:kern w:val="0"/>
                <w:sz w:val="18"/>
                <w:szCs w:val="18"/>
                <w:highlight w:val="none"/>
                <w:lang w:bidi="ar"/>
              </w:rPr>
              <w:t>输送粉尘</w:t>
            </w:r>
            <w:r>
              <w:rPr>
                <w:rFonts w:hint="eastAsia"/>
                <w:color w:val="auto"/>
                <w:kern w:val="0"/>
                <w:sz w:val="18"/>
                <w:szCs w:val="18"/>
                <w:highlight w:val="none"/>
                <w:lang w:eastAsia="zh-CN" w:bidi="ar"/>
              </w:rPr>
              <w:t>，</w:t>
            </w:r>
            <w:r>
              <w:rPr>
                <w:rFonts w:hint="eastAsia"/>
                <w:color w:val="auto"/>
                <w:kern w:val="0"/>
                <w:sz w:val="18"/>
                <w:szCs w:val="18"/>
                <w:highlight w:val="none"/>
                <w:lang w:val="en-US" w:eastAsia="zh-CN" w:bidi="ar"/>
              </w:rPr>
              <w:t>原料、成品堆场粉尘</w:t>
            </w:r>
          </w:p>
        </w:tc>
        <w:tc>
          <w:tcPr>
            <w:tcW w:w="306"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颗粒物</w:t>
            </w:r>
          </w:p>
        </w:tc>
        <w:tc>
          <w:tcPr>
            <w:tcW w:w="292"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无组织</w:t>
            </w:r>
          </w:p>
        </w:tc>
        <w:tc>
          <w:tcPr>
            <w:tcW w:w="11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智能高压喷雾抑尘装置，对装卸扬尘进行喷雾降尘</w:t>
            </w:r>
            <w:r>
              <w:rPr>
                <w:color w:val="auto"/>
                <w:kern w:val="0"/>
                <w:sz w:val="18"/>
                <w:szCs w:val="18"/>
                <w:highlight w:val="none"/>
                <w:lang w:bidi="ar"/>
              </w:rPr>
              <w:t>，封闭车间沉降</w:t>
            </w:r>
          </w:p>
        </w:tc>
        <w:tc>
          <w:tcPr>
            <w:tcW w:w="235"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99</w:t>
            </w:r>
            <w:r>
              <w:rPr>
                <w:rFonts w:hint="eastAsia"/>
                <w:color w:val="auto"/>
                <w:kern w:val="0"/>
                <w:sz w:val="18"/>
                <w:szCs w:val="18"/>
                <w:highlight w:val="none"/>
                <w:lang w:val="en-US" w:eastAsia="zh-CN" w:bidi="ar"/>
              </w:rPr>
              <w:t>.72</w:t>
            </w:r>
            <w:r>
              <w:rPr>
                <w:color w:val="auto"/>
                <w:kern w:val="0"/>
                <w:sz w:val="18"/>
                <w:szCs w:val="18"/>
                <w:highlight w:val="none"/>
                <w:lang w:bidi="ar"/>
              </w:rPr>
              <w:t>%</w:t>
            </w:r>
          </w:p>
        </w:tc>
        <w:tc>
          <w:tcPr>
            <w:tcW w:w="358" w:type="pct"/>
            <w:vAlign w:val="center"/>
          </w:tcPr>
          <w:p>
            <w:pPr>
              <w:widowControl/>
              <w:jc w:val="center"/>
              <w:textAlignment w:val="center"/>
              <w:rPr>
                <w:color w:val="auto"/>
                <w:kern w:val="0"/>
                <w:sz w:val="18"/>
                <w:szCs w:val="18"/>
                <w:highlight w:val="none"/>
                <w:lang w:bidi="ar"/>
              </w:rPr>
            </w:pPr>
            <w:r>
              <w:rPr>
                <w:color w:val="auto"/>
                <w:kern w:val="0"/>
                <w:sz w:val="18"/>
                <w:szCs w:val="18"/>
                <w:highlight w:val="none"/>
                <w:lang w:bidi="ar"/>
              </w:rPr>
              <w:t>是</w:t>
            </w:r>
          </w:p>
        </w:tc>
        <w:tc>
          <w:tcPr>
            <w:tcW w:w="219" w:type="pct"/>
            <w:vAlign w:val="center"/>
          </w:tcPr>
          <w:p>
            <w:pPr>
              <w:widowControl/>
              <w:jc w:val="center"/>
              <w:textAlignment w:val="center"/>
              <w:rPr>
                <w:color w:val="auto"/>
                <w:kern w:val="0"/>
                <w:sz w:val="18"/>
                <w:szCs w:val="18"/>
                <w:highlight w:val="none"/>
                <w:lang w:bidi="ar"/>
              </w:rPr>
            </w:pPr>
            <w:r>
              <w:rPr>
                <w:rFonts w:hint="eastAsia"/>
                <w:color w:val="auto"/>
                <w:kern w:val="0"/>
                <w:sz w:val="18"/>
                <w:szCs w:val="18"/>
                <w:highlight w:val="none"/>
                <w:lang w:bidi="ar"/>
              </w:rPr>
              <w:t>/</w:t>
            </w:r>
          </w:p>
        </w:tc>
        <w:tc>
          <w:tcPr>
            <w:tcW w:w="523" w:type="pct"/>
            <w:vMerge w:val="continue"/>
            <w:vAlign w:val="center"/>
          </w:tcPr>
          <w:p>
            <w:pPr>
              <w:widowControl/>
              <w:jc w:val="center"/>
              <w:textAlignment w:val="center"/>
              <w:rPr>
                <w:color w:val="auto"/>
                <w:kern w:val="0"/>
                <w:sz w:val="18"/>
                <w:szCs w:val="18"/>
                <w:highlight w:val="none"/>
                <w:lang w:bidi="ar"/>
              </w:rPr>
            </w:pPr>
          </w:p>
        </w:tc>
        <w:tc>
          <w:tcPr>
            <w:tcW w:w="550" w:type="pct"/>
            <w:vMerge w:val="continue"/>
            <w:vAlign w:val="center"/>
          </w:tcPr>
          <w:p>
            <w:pPr>
              <w:widowControl/>
              <w:jc w:val="center"/>
              <w:textAlignment w:val="center"/>
              <w:rPr>
                <w:color w:val="auto"/>
                <w:kern w:val="0"/>
                <w:sz w:val="18"/>
                <w:szCs w:val="18"/>
                <w:highlight w:val="none"/>
                <w:lang w:bidi="ar"/>
              </w:rPr>
            </w:pPr>
          </w:p>
        </w:tc>
        <w:tc>
          <w:tcPr>
            <w:tcW w:w="248" w:type="pct"/>
            <w:vMerge w:val="continue"/>
            <w:vAlign w:val="center"/>
          </w:tcPr>
          <w:p>
            <w:pPr>
              <w:widowControl/>
              <w:jc w:val="center"/>
              <w:textAlignment w:val="center"/>
              <w:rPr>
                <w:color w:val="auto"/>
                <w:kern w:val="0"/>
                <w:sz w:val="18"/>
                <w:szCs w:val="18"/>
                <w:highlight w:val="none"/>
                <w:lang w:bidi="ar"/>
              </w:rPr>
            </w:pPr>
          </w:p>
        </w:tc>
        <w:tc>
          <w:tcPr>
            <w:tcW w:w="220" w:type="pct"/>
            <w:vMerge w:val="continue"/>
            <w:vAlign w:val="center"/>
          </w:tcPr>
          <w:p>
            <w:pPr>
              <w:widowControl/>
              <w:jc w:val="center"/>
              <w:textAlignment w:val="center"/>
              <w:rPr>
                <w:color w:val="auto"/>
                <w:kern w:val="0"/>
                <w:sz w:val="18"/>
                <w:szCs w:val="18"/>
                <w:highlight w:val="none"/>
                <w:lang w:bidi="ar"/>
              </w:rPr>
            </w:pPr>
          </w:p>
        </w:tc>
      </w:tr>
    </w:tbl>
    <w:p>
      <w:pPr>
        <w:pStyle w:val="32"/>
        <w:spacing w:line="240" w:lineRule="auto"/>
        <w:ind w:firstLine="360"/>
        <w:rPr>
          <w:color w:val="auto"/>
          <w:sz w:val="18"/>
          <w:szCs w:val="18"/>
          <w:highlight w:val="none"/>
        </w:rPr>
      </w:pPr>
      <w:r>
        <w:rPr>
          <w:rFonts w:hint="eastAsia"/>
          <w:color w:val="auto"/>
          <w:sz w:val="18"/>
          <w:szCs w:val="18"/>
          <w:highlight w:val="none"/>
        </w:rPr>
        <w:t>*注：码头卸料和码头至</w:t>
      </w:r>
      <w:r>
        <w:rPr>
          <w:rFonts w:hint="eastAsia"/>
          <w:color w:val="auto"/>
          <w:sz w:val="18"/>
          <w:szCs w:val="18"/>
          <w:highlight w:val="none"/>
          <w:lang w:val="en-US" w:eastAsia="zh-CN"/>
        </w:rPr>
        <w:t>东南铜M-8#</w:t>
      </w:r>
      <w:r>
        <w:rPr>
          <w:rFonts w:hint="eastAsia"/>
          <w:color w:val="auto"/>
          <w:sz w:val="18"/>
          <w:szCs w:val="18"/>
          <w:highlight w:val="none"/>
        </w:rPr>
        <w:t>转运站输送过程污染防治责任单位为福建宁港港口投资发展有限公司</w:t>
      </w:r>
      <w:r>
        <w:rPr>
          <w:rFonts w:hint="eastAsia"/>
          <w:color w:val="auto"/>
          <w:sz w:val="18"/>
          <w:szCs w:val="18"/>
          <w:highlight w:val="none"/>
          <w:lang w:val="en-US" w:eastAsia="zh-CN"/>
        </w:rPr>
        <w:t>和东南铜</w:t>
      </w:r>
      <w:r>
        <w:rPr>
          <w:rFonts w:hint="eastAsia"/>
          <w:color w:val="auto"/>
          <w:sz w:val="18"/>
          <w:szCs w:val="18"/>
          <w:highlight w:val="none"/>
        </w:rPr>
        <w:t>，本评价仅描述污染过程，不进行影响分析和污染防治。</w:t>
      </w:r>
    </w:p>
    <w:p>
      <w:pPr>
        <w:pStyle w:val="32"/>
        <w:spacing w:line="240" w:lineRule="auto"/>
        <w:ind w:firstLine="360"/>
        <w:rPr>
          <w:color w:val="auto"/>
          <w:sz w:val="18"/>
          <w:szCs w:val="18"/>
          <w:highlight w:val="none"/>
        </w:rPr>
      </w:pPr>
    </w:p>
    <w:p>
      <w:pPr>
        <w:pStyle w:val="36"/>
        <w:rPr>
          <w:color w:val="auto"/>
          <w:highlight w:val="none"/>
        </w:rPr>
      </w:pPr>
      <w:r>
        <w:rPr>
          <w:rFonts w:hint="eastAsia"/>
          <w:color w:val="auto"/>
          <w:highlight w:val="none"/>
        </w:rPr>
        <w:t>表4.2.2  废气排放口基本情况</w:t>
      </w:r>
    </w:p>
    <w:tbl>
      <w:tblPr>
        <w:tblStyle w:val="38"/>
        <w:tblW w:w="5022"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87"/>
        <w:gridCol w:w="3393"/>
        <w:gridCol w:w="753"/>
        <w:gridCol w:w="1259"/>
        <w:gridCol w:w="2235"/>
        <w:gridCol w:w="979"/>
        <w:gridCol w:w="1520"/>
        <w:gridCol w:w="28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50" w:type="pct"/>
            <w:vAlign w:val="center"/>
          </w:tcPr>
          <w:p>
            <w:pPr>
              <w:widowControl/>
              <w:jc w:val="center"/>
              <w:textAlignment w:val="center"/>
              <w:rPr>
                <w:color w:val="auto"/>
                <w:kern w:val="0"/>
                <w:szCs w:val="21"/>
                <w:highlight w:val="none"/>
                <w:lang w:bidi="ar"/>
              </w:rPr>
            </w:pPr>
            <w:r>
              <w:rPr>
                <w:color w:val="auto"/>
                <w:kern w:val="0"/>
                <w:szCs w:val="21"/>
                <w:highlight w:val="none"/>
                <w:lang w:bidi="ar"/>
              </w:rPr>
              <w:t>编号</w:t>
            </w:r>
          </w:p>
        </w:tc>
        <w:tc>
          <w:tcPr>
            <w:tcW w:w="1186" w:type="pct"/>
            <w:vAlign w:val="center"/>
          </w:tcPr>
          <w:p>
            <w:pPr>
              <w:widowControl/>
              <w:jc w:val="center"/>
              <w:textAlignment w:val="center"/>
              <w:rPr>
                <w:color w:val="auto"/>
                <w:kern w:val="0"/>
                <w:szCs w:val="21"/>
                <w:highlight w:val="none"/>
                <w:lang w:bidi="ar"/>
              </w:rPr>
            </w:pPr>
            <w:r>
              <w:rPr>
                <w:color w:val="auto"/>
                <w:kern w:val="0"/>
                <w:szCs w:val="21"/>
                <w:highlight w:val="none"/>
                <w:lang w:bidi="ar"/>
              </w:rPr>
              <w:t>排气筒名称</w:t>
            </w:r>
          </w:p>
        </w:tc>
        <w:tc>
          <w:tcPr>
            <w:tcW w:w="263" w:type="pct"/>
            <w:vAlign w:val="center"/>
          </w:tcPr>
          <w:p>
            <w:pPr>
              <w:widowControl/>
              <w:jc w:val="center"/>
              <w:textAlignment w:val="center"/>
              <w:rPr>
                <w:color w:val="auto"/>
                <w:kern w:val="0"/>
                <w:szCs w:val="21"/>
                <w:highlight w:val="none"/>
                <w:lang w:bidi="ar"/>
              </w:rPr>
            </w:pPr>
            <w:r>
              <w:rPr>
                <w:color w:val="auto"/>
                <w:kern w:val="0"/>
                <w:szCs w:val="21"/>
                <w:highlight w:val="none"/>
                <w:lang w:bidi="ar"/>
              </w:rPr>
              <w:t>高度</w:t>
            </w:r>
          </w:p>
        </w:tc>
        <w:tc>
          <w:tcPr>
            <w:tcW w:w="440" w:type="pct"/>
            <w:vAlign w:val="center"/>
          </w:tcPr>
          <w:p>
            <w:pPr>
              <w:widowControl/>
              <w:jc w:val="center"/>
              <w:textAlignment w:val="center"/>
              <w:rPr>
                <w:color w:val="auto"/>
                <w:kern w:val="0"/>
                <w:szCs w:val="21"/>
                <w:highlight w:val="none"/>
                <w:lang w:bidi="ar"/>
              </w:rPr>
            </w:pPr>
            <w:r>
              <w:rPr>
                <w:color w:val="auto"/>
                <w:kern w:val="0"/>
                <w:szCs w:val="21"/>
                <w:highlight w:val="none"/>
                <w:lang w:bidi="ar"/>
              </w:rPr>
              <w:t>内径</w:t>
            </w:r>
          </w:p>
        </w:tc>
        <w:tc>
          <w:tcPr>
            <w:tcW w:w="78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风机量</w:t>
            </w:r>
          </w:p>
        </w:tc>
        <w:tc>
          <w:tcPr>
            <w:tcW w:w="342" w:type="pct"/>
            <w:vAlign w:val="center"/>
          </w:tcPr>
          <w:p>
            <w:pPr>
              <w:widowControl/>
              <w:jc w:val="center"/>
              <w:textAlignment w:val="center"/>
              <w:rPr>
                <w:color w:val="auto"/>
                <w:kern w:val="0"/>
                <w:szCs w:val="21"/>
                <w:highlight w:val="none"/>
                <w:lang w:bidi="ar"/>
              </w:rPr>
            </w:pPr>
            <w:r>
              <w:rPr>
                <w:color w:val="auto"/>
                <w:kern w:val="0"/>
                <w:szCs w:val="21"/>
                <w:highlight w:val="none"/>
                <w:lang w:bidi="ar"/>
              </w:rPr>
              <w:t>温度</w:t>
            </w:r>
          </w:p>
        </w:tc>
        <w:tc>
          <w:tcPr>
            <w:tcW w:w="53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年排放时间h</w:t>
            </w:r>
          </w:p>
        </w:tc>
        <w:tc>
          <w:tcPr>
            <w:tcW w:w="1004" w:type="pct"/>
            <w:vAlign w:val="center"/>
          </w:tcPr>
          <w:p>
            <w:pPr>
              <w:widowControl/>
              <w:jc w:val="center"/>
              <w:textAlignment w:val="center"/>
              <w:rPr>
                <w:color w:val="auto"/>
                <w:kern w:val="0"/>
                <w:szCs w:val="21"/>
                <w:highlight w:val="none"/>
                <w:lang w:bidi="ar"/>
              </w:rPr>
            </w:pPr>
            <w:r>
              <w:rPr>
                <w:color w:val="auto"/>
                <w:kern w:val="0"/>
                <w:szCs w:val="21"/>
                <w:highlight w:val="none"/>
                <w:lang w:bidi="ar"/>
              </w:rPr>
              <w:t>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50" w:type="pct"/>
            <w:vAlign w:val="center"/>
          </w:tcPr>
          <w:p>
            <w:pPr>
              <w:widowControl/>
              <w:jc w:val="center"/>
              <w:textAlignment w:val="center"/>
              <w:rPr>
                <w:color w:val="auto"/>
                <w:kern w:val="0"/>
                <w:szCs w:val="21"/>
                <w:highlight w:val="none"/>
                <w:lang w:bidi="ar"/>
              </w:rPr>
            </w:pPr>
            <w:r>
              <w:rPr>
                <w:color w:val="auto"/>
                <w:kern w:val="0"/>
                <w:szCs w:val="21"/>
                <w:highlight w:val="none"/>
                <w:lang w:bidi="ar"/>
              </w:rPr>
              <w:t>DA001</w:t>
            </w:r>
          </w:p>
        </w:tc>
        <w:tc>
          <w:tcPr>
            <w:tcW w:w="1186"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M-9#</w:t>
            </w:r>
            <w:r>
              <w:rPr>
                <w:rFonts w:hint="eastAsia"/>
                <w:color w:val="auto"/>
                <w:kern w:val="0"/>
                <w:szCs w:val="21"/>
                <w:highlight w:val="none"/>
                <w:lang w:bidi="ar"/>
              </w:rPr>
              <w:t>转运站排气筒</w:t>
            </w:r>
          </w:p>
        </w:tc>
        <w:tc>
          <w:tcPr>
            <w:tcW w:w="263"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15m</w:t>
            </w:r>
          </w:p>
        </w:tc>
        <w:tc>
          <w:tcPr>
            <w:tcW w:w="44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0.2</w:t>
            </w:r>
            <w:r>
              <w:rPr>
                <w:color w:val="auto"/>
                <w:kern w:val="0"/>
                <w:szCs w:val="21"/>
                <w:highlight w:val="none"/>
                <w:lang w:bidi="ar"/>
              </w:rPr>
              <w:t>m</w:t>
            </w:r>
          </w:p>
        </w:tc>
        <w:tc>
          <w:tcPr>
            <w:tcW w:w="781"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70</w:t>
            </w:r>
            <w:r>
              <w:rPr>
                <w:rFonts w:hint="eastAsia"/>
                <w:color w:val="auto"/>
                <w:kern w:val="0"/>
                <w:szCs w:val="21"/>
                <w:highlight w:val="none"/>
                <w:lang w:bidi="ar"/>
              </w:rPr>
              <w:t>00</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/h</w:t>
            </w:r>
          </w:p>
        </w:tc>
        <w:tc>
          <w:tcPr>
            <w:tcW w:w="342"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25</w:t>
            </w:r>
            <w:r>
              <w:rPr>
                <w:color w:val="auto"/>
                <w:kern w:val="0"/>
                <w:szCs w:val="21"/>
                <w:highlight w:val="none"/>
                <w:lang w:bidi="ar"/>
              </w:rPr>
              <w:t>℃</w:t>
            </w:r>
          </w:p>
        </w:tc>
        <w:tc>
          <w:tcPr>
            <w:tcW w:w="531"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7350</w:t>
            </w:r>
          </w:p>
        </w:tc>
        <w:tc>
          <w:tcPr>
            <w:tcW w:w="1004"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位于</w:t>
            </w:r>
            <w:r>
              <w:rPr>
                <w:rFonts w:hint="eastAsia"/>
                <w:color w:val="auto"/>
                <w:kern w:val="0"/>
                <w:szCs w:val="21"/>
                <w:highlight w:val="none"/>
                <w:lang w:val="en-US" w:eastAsia="zh-CN" w:bidi="ar"/>
              </w:rPr>
              <w:t>M-9#</w:t>
            </w:r>
            <w:r>
              <w:rPr>
                <w:rFonts w:hint="eastAsia"/>
                <w:color w:val="auto"/>
                <w:szCs w:val="21"/>
                <w:highlight w:val="none"/>
              </w:rPr>
              <w:t>转运站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5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DA00</w:t>
            </w:r>
            <w:r>
              <w:rPr>
                <w:rFonts w:hint="eastAsia"/>
                <w:color w:val="auto"/>
                <w:kern w:val="0"/>
                <w:szCs w:val="21"/>
                <w:highlight w:val="none"/>
                <w:lang w:val="en-US" w:eastAsia="zh-CN" w:bidi="ar"/>
              </w:rPr>
              <w:t>2</w:t>
            </w:r>
          </w:p>
        </w:tc>
        <w:tc>
          <w:tcPr>
            <w:tcW w:w="1186"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zCs w:val="21"/>
                <w:highlight w:val="none"/>
                <w:lang w:val="en-US" w:eastAsia="zh-CN"/>
              </w:rPr>
              <w:t>卸矿站废气处理设施</w:t>
            </w:r>
            <w:r>
              <w:rPr>
                <w:rFonts w:hint="eastAsia"/>
                <w:color w:val="auto"/>
                <w:kern w:val="0"/>
                <w:szCs w:val="21"/>
                <w:highlight w:val="none"/>
                <w:lang w:bidi="ar"/>
              </w:rPr>
              <w:t>排气筒</w:t>
            </w:r>
          </w:p>
        </w:tc>
        <w:tc>
          <w:tcPr>
            <w:tcW w:w="263"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15m</w:t>
            </w:r>
          </w:p>
        </w:tc>
        <w:tc>
          <w:tcPr>
            <w:tcW w:w="44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0.</w:t>
            </w:r>
            <w:r>
              <w:rPr>
                <w:rFonts w:hint="eastAsia"/>
                <w:color w:val="auto"/>
                <w:kern w:val="0"/>
                <w:szCs w:val="21"/>
                <w:highlight w:val="none"/>
                <w:lang w:val="en-US" w:eastAsia="zh-CN" w:bidi="ar"/>
              </w:rPr>
              <w:t>8</w:t>
            </w:r>
            <w:r>
              <w:rPr>
                <w:color w:val="auto"/>
                <w:kern w:val="0"/>
                <w:szCs w:val="21"/>
                <w:highlight w:val="none"/>
                <w:lang w:bidi="ar"/>
              </w:rPr>
              <w:t>m</w:t>
            </w:r>
          </w:p>
        </w:tc>
        <w:tc>
          <w:tcPr>
            <w:tcW w:w="781"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48</w:t>
            </w:r>
            <w:r>
              <w:rPr>
                <w:rFonts w:hint="eastAsia"/>
                <w:color w:val="auto"/>
                <w:kern w:val="0"/>
                <w:szCs w:val="21"/>
                <w:highlight w:val="none"/>
                <w:lang w:eastAsia="zh-CN" w:bidi="ar"/>
              </w:rPr>
              <w:t>000</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/h</w:t>
            </w:r>
          </w:p>
        </w:tc>
        <w:tc>
          <w:tcPr>
            <w:tcW w:w="342"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25</w:t>
            </w:r>
            <w:r>
              <w:rPr>
                <w:color w:val="auto"/>
                <w:kern w:val="0"/>
                <w:szCs w:val="21"/>
                <w:highlight w:val="none"/>
                <w:lang w:bidi="ar"/>
              </w:rPr>
              <w:t>℃</w:t>
            </w:r>
          </w:p>
        </w:tc>
        <w:tc>
          <w:tcPr>
            <w:tcW w:w="531"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7920</w:t>
            </w:r>
          </w:p>
        </w:tc>
        <w:tc>
          <w:tcPr>
            <w:tcW w:w="1004"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位于卸矿站东侧室外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5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DA00</w:t>
            </w:r>
            <w:r>
              <w:rPr>
                <w:rFonts w:hint="eastAsia"/>
                <w:color w:val="auto"/>
                <w:kern w:val="0"/>
                <w:szCs w:val="21"/>
                <w:highlight w:val="none"/>
                <w:lang w:val="en-US" w:eastAsia="zh-CN" w:bidi="ar"/>
              </w:rPr>
              <w:t>3</w:t>
            </w:r>
          </w:p>
        </w:tc>
        <w:tc>
          <w:tcPr>
            <w:tcW w:w="1186"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szCs w:val="21"/>
                <w:highlight w:val="none"/>
                <w:lang w:val="en-US" w:eastAsia="zh-CN"/>
              </w:rPr>
              <w:t>混矿库废气处理设施1</w:t>
            </w:r>
            <w:r>
              <w:rPr>
                <w:rFonts w:hint="eastAsia"/>
                <w:color w:val="auto"/>
                <w:kern w:val="0"/>
                <w:szCs w:val="21"/>
                <w:highlight w:val="none"/>
                <w:lang w:bidi="ar"/>
              </w:rPr>
              <w:t>排气筒</w:t>
            </w:r>
          </w:p>
        </w:tc>
        <w:tc>
          <w:tcPr>
            <w:tcW w:w="263"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15m</w:t>
            </w:r>
          </w:p>
        </w:tc>
        <w:tc>
          <w:tcPr>
            <w:tcW w:w="44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0.</w:t>
            </w:r>
            <w:r>
              <w:rPr>
                <w:rFonts w:hint="eastAsia"/>
                <w:color w:val="auto"/>
                <w:kern w:val="0"/>
                <w:szCs w:val="21"/>
                <w:highlight w:val="none"/>
                <w:lang w:val="en-US" w:eastAsia="zh-CN" w:bidi="ar"/>
              </w:rPr>
              <w:t>8</w:t>
            </w:r>
            <w:r>
              <w:rPr>
                <w:color w:val="auto"/>
                <w:kern w:val="0"/>
                <w:szCs w:val="21"/>
                <w:highlight w:val="none"/>
                <w:lang w:bidi="ar"/>
              </w:rPr>
              <w:t>m</w:t>
            </w:r>
          </w:p>
        </w:tc>
        <w:tc>
          <w:tcPr>
            <w:tcW w:w="781"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64</w:t>
            </w:r>
            <w:r>
              <w:rPr>
                <w:rFonts w:hint="eastAsia"/>
                <w:color w:val="auto"/>
                <w:kern w:val="0"/>
                <w:szCs w:val="21"/>
                <w:highlight w:val="none"/>
                <w:lang w:eastAsia="zh-CN" w:bidi="ar"/>
              </w:rPr>
              <w:t>000</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/h</w:t>
            </w:r>
          </w:p>
        </w:tc>
        <w:tc>
          <w:tcPr>
            <w:tcW w:w="342"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25</w:t>
            </w:r>
            <w:r>
              <w:rPr>
                <w:color w:val="auto"/>
                <w:kern w:val="0"/>
                <w:szCs w:val="21"/>
                <w:highlight w:val="none"/>
                <w:lang w:bidi="ar"/>
              </w:rPr>
              <w:t>℃</w:t>
            </w:r>
          </w:p>
        </w:tc>
        <w:tc>
          <w:tcPr>
            <w:tcW w:w="531"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7920</w:t>
            </w:r>
          </w:p>
        </w:tc>
        <w:tc>
          <w:tcPr>
            <w:tcW w:w="1004" w:type="pct"/>
            <w:shd w:val="clear" w:color="auto" w:fill="auto"/>
            <w:vAlign w:val="center"/>
          </w:tcPr>
          <w:p>
            <w:pPr>
              <w:widowControl/>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位于</w:t>
            </w:r>
            <w:r>
              <w:rPr>
                <w:rFonts w:hint="eastAsia"/>
                <w:color w:val="auto"/>
                <w:szCs w:val="21"/>
                <w:highlight w:val="none"/>
                <w:lang w:val="en-US" w:eastAsia="zh-CN"/>
              </w:rPr>
              <w:t>混矿库</w:t>
            </w:r>
            <w:r>
              <w:rPr>
                <w:rFonts w:hint="eastAsia"/>
                <w:color w:val="auto"/>
                <w:kern w:val="0"/>
                <w:szCs w:val="21"/>
                <w:highlight w:val="none"/>
                <w:lang w:val="en-US" w:eastAsia="zh-CN" w:bidi="ar"/>
              </w:rPr>
              <w:t>西侧室外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45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DA00</w:t>
            </w:r>
            <w:r>
              <w:rPr>
                <w:rFonts w:hint="eastAsia"/>
                <w:color w:val="auto"/>
                <w:kern w:val="0"/>
                <w:szCs w:val="21"/>
                <w:highlight w:val="none"/>
                <w:lang w:val="en-US" w:eastAsia="zh-CN" w:bidi="ar"/>
              </w:rPr>
              <w:t>4</w:t>
            </w:r>
          </w:p>
        </w:tc>
        <w:tc>
          <w:tcPr>
            <w:tcW w:w="1186"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szCs w:val="21"/>
                <w:highlight w:val="none"/>
                <w:lang w:val="en-US" w:eastAsia="zh-CN"/>
              </w:rPr>
              <w:t>混矿库废气处理设施2</w:t>
            </w:r>
            <w:r>
              <w:rPr>
                <w:rFonts w:hint="eastAsia"/>
                <w:color w:val="auto"/>
                <w:kern w:val="0"/>
                <w:szCs w:val="21"/>
                <w:highlight w:val="none"/>
                <w:lang w:bidi="ar"/>
              </w:rPr>
              <w:t>排气筒</w:t>
            </w:r>
          </w:p>
        </w:tc>
        <w:tc>
          <w:tcPr>
            <w:tcW w:w="263"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color w:val="auto"/>
                <w:kern w:val="0"/>
                <w:szCs w:val="21"/>
                <w:highlight w:val="none"/>
                <w:lang w:bidi="ar"/>
              </w:rPr>
              <w:t>15m</w:t>
            </w:r>
          </w:p>
        </w:tc>
        <w:tc>
          <w:tcPr>
            <w:tcW w:w="440"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1.0</w:t>
            </w:r>
            <w:r>
              <w:rPr>
                <w:color w:val="auto"/>
                <w:kern w:val="0"/>
                <w:szCs w:val="21"/>
                <w:highlight w:val="none"/>
                <w:lang w:bidi="ar"/>
              </w:rPr>
              <w:t>m</w:t>
            </w:r>
          </w:p>
        </w:tc>
        <w:tc>
          <w:tcPr>
            <w:tcW w:w="781"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7</w:t>
            </w:r>
            <w:r>
              <w:rPr>
                <w:rFonts w:hint="eastAsia"/>
                <w:color w:val="auto"/>
                <w:kern w:val="0"/>
                <w:szCs w:val="21"/>
                <w:highlight w:val="none"/>
                <w:lang w:val="en-US" w:eastAsia="zh-CN" w:bidi="ar"/>
              </w:rPr>
              <w:t>5</w:t>
            </w:r>
            <w:r>
              <w:rPr>
                <w:rFonts w:hint="eastAsia"/>
                <w:color w:val="auto"/>
                <w:kern w:val="0"/>
                <w:szCs w:val="21"/>
                <w:highlight w:val="none"/>
                <w:lang w:bidi="ar"/>
              </w:rPr>
              <w:t>000</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/h</w:t>
            </w:r>
          </w:p>
        </w:tc>
        <w:tc>
          <w:tcPr>
            <w:tcW w:w="342"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bidi="ar"/>
              </w:rPr>
              <w:t>25</w:t>
            </w:r>
            <w:r>
              <w:rPr>
                <w:color w:val="auto"/>
                <w:kern w:val="0"/>
                <w:szCs w:val="21"/>
                <w:highlight w:val="none"/>
                <w:lang w:bidi="ar"/>
              </w:rPr>
              <w:t>℃</w:t>
            </w:r>
          </w:p>
        </w:tc>
        <w:tc>
          <w:tcPr>
            <w:tcW w:w="531" w:type="pct"/>
            <w:shd w:val="clear" w:color="auto" w:fill="auto"/>
            <w:vAlign w:val="center"/>
          </w:tcPr>
          <w:p>
            <w:pPr>
              <w:widowControl/>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7920</w:t>
            </w:r>
          </w:p>
        </w:tc>
        <w:tc>
          <w:tcPr>
            <w:tcW w:w="1004" w:type="pct"/>
            <w:shd w:val="clear" w:color="auto" w:fill="auto"/>
            <w:vAlign w:val="center"/>
          </w:tcPr>
          <w:p>
            <w:pPr>
              <w:widowControl/>
              <w:jc w:val="center"/>
              <w:textAlignment w:val="center"/>
              <w:rPr>
                <w:rFonts w:ascii="Times New Roman" w:hAnsi="Times New Roman" w:eastAsia="宋体" w:cs="Times New Roman"/>
                <w:color w:val="auto"/>
                <w:kern w:val="0"/>
                <w:sz w:val="21"/>
                <w:szCs w:val="21"/>
                <w:highlight w:val="none"/>
                <w:lang w:val="en-US" w:eastAsia="zh-CN" w:bidi="ar"/>
              </w:rPr>
            </w:pPr>
            <w:r>
              <w:rPr>
                <w:rFonts w:hint="eastAsia"/>
                <w:color w:val="auto"/>
                <w:kern w:val="0"/>
                <w:szCs w:val="21"/>
                <w:highlight w:val="none"/>
                <w:lang w:val="en-US" w:eastAsia="zh-CN" w:bidi="ar"/>
              </w:rPr>
              <w:t>位于</w:t>
            </w:r>
            <w:r>
              <w:rPr>
                <w:rFonts w:hint="eastAsia"/>
                <w:color w:val="auto"/>
                <w:szCs w:val="21"/>
                <w:highlight w:val="none"/>
                <w:lang w:val="en-US" w:eastAsia="zh-CN"/>
              </w:rPr>
              <w:t>混矿库</w:t>
            </w:r>
            <w:r>
              <w:rPr>
                <w:rFonts w:hint="eastAsia"/>
                <w:color w:val="auto"/>
                <w:kern w:val="0"/>
                <w:szCs w:val="21"/>
                <w:highlight w:val="none"/>
                <w:lang w:val="en-US" w:eastAsia="zh-CN" w:bidi="ar"/>
              </w:rPr>
              <w:t>东侧室外</w:t>
            </w:r>
          </w:p>
        </w:tc>
      </w:tr>
    </w:tbl>
    <w:p>
      <w:pPr>
        <w:pStyle w:val="32"/>
        <w:spacing w:line="240" w:lineRule="auto"/>
        <w:ind w:firstLine="0" w:firstLineChars="0"/>
        <w:rPr>
          <w:rFonts w:hint="eastAsia"/>
          <w:color w:val="auto"/>
          <w:highlight w:val="none"/>
        </w:rPr>
      </w:pPr>
    </w:p>
    <w:p>
      <w:pPr>
        <w:pStyle w:val="36"/>
        <w:rPr>
          <w:color w:val="auto"/>
          <w:highlight w:val="none"/>
        </w:rPr>
      </w:pPr>
      <w:r>
        <w:rPr>
          <w:rFonts w:hint="eastAsia"/>
          <w:color w:val="auto"/>
          <w:highlight w:val="none"/>
        </w:rPr>
        <w:t>表4.2.3  码头至</w:t>
      </w:r>
      <w:r>
        <w:rPr>
          <w:rFonts w:hint="eastAsia"/>
          <w:color w:val="auto"/>
          <w:highlight w:val="none"/>
          <w:lang w:val="en-US" w:eastAsia="zh-CN"/>
        </w:rPr>
        <w:t>东南铜M-8#</w:t>
      </w:r>
      <w:r>
        <w:rPr>
          <w:rFonts w:hint="eastAsia"/>
          <w:color w:val="auto"/>
          <w:highlight w:val="none"/>
        </w:rPr>
        <w:t>转运站铜精矿皮带运输过程污染物核算情况一览表</w:t>
      </w:r>
    </w:p>
    <w:tbl>
      <w:tblPr>
        <w:tblStyle w:val="38"/>
        <w:tblW w:w="143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5"/>
        <w:gridCol w:w="1410"/>
        <w:gridCol w:w="885"/>
        <w:gridCol w:w="972"/>
        <w:gridCol w:w="1043"/>
        <w:gridCol w:w="941"/>
        <w:gridCol w:w="914"/>
        <w:gridCol w:w="886"/>
        <w:gridCol w:w="996"/>
        <w:gridCol w:w="981"/>
        <w:gridCol w:w="1173"/>
        <w:gridCol w:w="1009"/>
        <w:gridCol w:w="105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675"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排气</w:t>
            </w:r>
          </w:p>
          <w:p>
            <w:pPr>
              <w:widowControl/>
              <w:jc w:val="center"/>
              <w:textAlignment w:val="center"/>
              <w:rPr>
                <w:color w:val="auto"/>
                <w:kern w:val="0"/>
                <w:sz w:val="21"/>
                <w:szCs w:val="21"/>
                <w:highlight w:val="none"/>
                <w:lang w:bidi="ar"/>
              </w:rPr>
            </w:pPr>
            <w:r>
              <w:rPr>
                <w:color w:val="auto"/>
                <w:kern w:val="0"/>
                <w:sz w:val="21"/>
                <w:szCs w:val="21"/>
                <w:highlight w:val="none"/>
                <w:lang w:bidi="ar"/>
              </w:rPr>
              <w:t>筒编</w:t>
            </w:r>
          </w:p>
          <w:p>
            <w:pPr>
              <w:widowControl/>
              <w:jc w:val="center"/>
              <w:textAlignment w:val="center"/>
              <w:rPr>
                <w:color w:val="auto"/>
                <w:kern w:val="0"/>
                <w:sz w:val="21"/>
                <w:szCs w:val="21"/>
                <w:highlight w:val="none"/>
                <w:lang w:bidi="ar"/>
              </w:rPr>
            </w:pPr>
            <w:r>
              <w:rPr>
                <w:color w:val="auto"/>
                <w:kern w:val="0"/>
                <w:sz w:val="21"/>
                <w:szCs w:val="21"/>
                <w:highlight w:val="none"/>
                <w:lang w:bidi="ar"/>
              </w:rPr>
              <w:t>号</w:t>
            </w:r>
          </w:p>
        </w:tc>
        <w:tc>
          <w:tcPr>
            <w:tcW w:w="1410"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排气筒位置</w:t>
            </w:r>
          </w:p>
        </w:tc>
        <w:tc>
          <w:tcPr>
            <w:tcW w:w="885"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工作时间（h/a）</w:t>
            </w:r>
          </w:p>
        </w:tc>
        <w:tc>
          <w:tcPr>
            <w:tcW w:w="972"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污染物</w:t>
            </w:r>
          </w:p>
        </w:tc>
        <w:tc>
          <w:tcPr>
            <w:tcW w:w="3784" w:type="dxa"/>
            <w:gridSpan w:val="4"/>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产生情况</w:t>
            </w:r>
          </w:p>
        </w:tc>
        <w:tc>
          <w:tcPr>
            <w:tcW w:w="996"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净化效率（%）</w:t>
            </w:r>
          </w:p>
        </w:tc>
        <w:tc>
          <w:tcPr>
            <w:tcW w:w="981" w:type="dxa"/>
            <w:vMerge w:val="restart"/>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排气筒高度（m）</w:t>
            </w:r>
          </w:p>
        </w:tc>
        <w:tc>
          <w:tcPr>
            <w:tcW w:w="4623" w:type="dxa"/>
            <w:gridSpan w:val="4"/>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trPr>
        <w:tc>
          <w:tcPr>
            <w:tcW w:w="675" w:type="dxa"/>
            <w:vMerge w:val="continue"/>
            <w:vAlign w:val="center"/>
          </w:tcPr>
          <w:p>
            <w:pPr>
              <w:widowControl/>
              <w:jc w:val="center"/>
              <w:textAlignment w:val="center"/>
              <w:rPr>
                <w:color w:val="auto"/>
                <w:kern w:val="0"/>
                <w:sz w:val="21"/>
                <w:szCs w:val="21"/>
                <w:highlight w:val="none"/>
                <w:lang w:bidi="ar"/>
              </w:rPr>
            </w:pPr>
          </w:p>
        </w:tc>
        <w:tc>
          <w:tcPr>
            <w:tcW w:w="1410" w:type="dxa"/>
            <w:vMerge w:val="continue"/>
            <w:vAlign w:val="center"/>
          </w:tcPr>
          <w:p>
            <w:pPr>
              <w:widowControl/>
              <w:jc w:val="center"/>
              <w:textAlignment w:val="center"/>
              <w:rPr>
                <w:color w:val="auto"/>
                <w:kern w:val="0"/>
                <w:sz w:val="21"/>
                <w:szCs w:val="21"/>
                <w:highlight w:val="none"/>
                <w:lang w:bidi="ar"/>
              </w:rPr>
            </w:pPr>
          </w:p>
        </w:tc>
        <w:tc>
          <w:tcPr>
            <w:tcW w:w="885" w:type="dxa"/>
            <w:vMerge w:val="continue"/>
            <w:vAlign w:val="center"/>
          </w:tcPr>
          <w:p>
            <w:pPr>
              <w:widowControl/>
              <w:jc w:val="center"/>
              <w:textAlignment w:val="center"/>
              <w:rPr>
                <w:color w:val="auto"/>
                <w:kern w:val="0"/>
                <w:sz w:val="21"/>
                <w:szCs w:val="21"/>
                <w:highlight w:val="none"/>
                <w:lang w:bidi="ar"/>
              </w:rPr>
            </w:pPr>
          </w:p>
        </w:tc>
        <w:tc>
          <w:tcPr>
            <w:tcW w:w="972" w:type="dxa"/>
            <w:vMerge w:val="continue"/>
            <w:vAlign w:val="center"/>
          </w:tcPr>
          <w:p>
            <w:pPr>
              <w:widowControl/>
              <w:jc w:val="center"/>
              <w:textAlignment w:val="center"/>
              <w:rPr>
                <w:color w:val="auto"/>
                <w:kern w:val="0"/>
                <w:sz w:val="21"/>
                <w:szCs w:val="21"/>
                <w:highlight w:val="none"/>
                <w:lang w:bidi="ar"/>
              </w:rPr>
            </w:pPr>
          </w:p>
        </w:tc>
        <w:tc>
          <w:tcPr>
            <w:tcW w:w="1043"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产生浓度（mg/m</w:t>
            </w:r>
            <w:r>
              <w:rPr>
                <w:color w:val="auto"/>
                <w:kern w:val="0"/>
                <w:sz w:val="21"/>
                <w:szCs w:val="21"/>
                <w:highlight w:val="none"/>
                <w:vertAlign w:val="superscript"/>
                <w:lang w:bidi="ar"/>
              </w:rPr>
              <w:t>3</w:t>
            </w:r>
            <w:r>
              <w:rPr>
                <w:color w:val="auto"/>
                <w:kern w:val="0"/>
                <w:sz w:val="21"/>
                <w:szCs w:val="21"/>
                <w:highlight w:val="none"/>
                <w:lang w:bidi="ar"/>
              </w:rPr>
              <w:t>）</w:t>
            </w:r>
          </w:p>
        </w:tc>
        <w:tc>
          <w:tcPr>
            <w:tcW w:w="941"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标杆流量</w:t>
            </w:r>
            <w:r>
              <w:rPr>
                <w:color w:val="auto"/>
                <w:kern w:val="0"/>
                <w:sz w:val="21"/>
                <w:szCs w:val="21"/>
                <w:highlight w:val="none"/>
                <w:lang w:bidi="ar"/>
              </w:rPr>
              <w:t>（m</w:t>
            </w:r>
            <w:r>
              <w:rPr>
                <w:color w:val="auto"/>
                <w:kern w:val="0"/>
                <w:sz w:val="21"/>
                <w:szCs w:val="21"/>
                <w:highlight w:val="none"/>
                <w:vertAlign w:val="superscript"/>
                <w:lang w:bidi="ar"/>
              </w:rPr>
              <w:t>3</w:t>
            </w:r>
            <w:r>
              <w:rPr>
                <w:color w:val="auto"/>
                <w:kern w:val="0"/>
                <w:sz w:val="21"/>
                <w:szCs w:val="21"/>
                <w:highlight w:val="none"/>
                <w:lang w:bidi="ar"/>
              </w:rPr>
              <w:t>/h）</w:t>
            </w:r>
          </w:p>
        </w:tc>
        <w:tc>
          <w:tcPr>
            <w:tcW w:w="914"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产生速率（kg/h）</w:t>
            </w:r>
          </w:p>
        </w:tc>
        <w:tc>
          <w:tcPr>
            <w:tcW w:w="88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产生量（t/a）</w:t>
            </w:r>
          </w:p>
        </w:tc>
        <w:tc>
          <w:tcPr>
            <w:tcW w:w="996" w:type="dxa"/>
            <w:vMerge w:val="continue"/>
            <w:vAlign w:val="center"/>
          </w:tcPr>
          <w:p>
            <w:pPr>
              <w:widowControl/>
              <w:jc w:val="center"/>
              <w:textAlignment w:val="center"/>
              <w:rPr>
                <w:color w:val="auto"/>
                <w:kern w:val="0"/>
                <w:sz w:val="21"/>
                <w:szCs w:val="21"/>
                <w:highlight w:val="none"/>
                <w:lang w:bidi="ar"/>
              </w:rPr>
            </w:pPr>
          </w:p>
        </w:tc>
        <w:tc>
          <w:tcPr>
            <w:tcW w:w="981" w:type="dxa"/>
            <w:vMerge w:val="continue"/>
            <w:vAlign w:val="center"/>
          </w:tcPr>
          <w:p>
            <w:pPr>
              <w:widowControl/>
              <w:jc w:val="center"/>
              <w:textAlignment w:val="center"/>
              <w:rPr>
                <w:color w:val="auto"/>
                <w:kern w:val="0"/>
                <w:sz w:val="21"/>
                <w:szCs w:val="21"/>
                <w:highlight w:val="none"/>
                <w:lang w:bidi="ar"/>
              </w:rPr>
            </w:pPr>
          </w:p>
        </w:tc>
        <w:tc>
          <w:tcPr>
            <w:tcW w:w="1173"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排放浓度（mg/m</w:t>
            </w:r>
            <w:r>
              <w:rPr>
                <w:color w:val="auto"/>
                <w:kern w:val="0"/>
                <w:sz w:val="21"/>
                <w:szCs w:val="21"/>
                <w:highlight w:val="none"/>
                <w:vertAlign w:val="superscript"/>
                <w:lang w:bidi="ar"/>
              </w:rPr>
              <w:t>3</w:t>
            </w:r>
            <w:r>
              <w:rPr>
                <w:color w:val="auto"/>
                <w:kern w:val="0"/>
                <w:sz w:val="21"/>
                <w:szCs w:val="21"/>
                <w:highlight w:val="none"/>
                <w:lang w:bidi="ar"/>
              </w:rPr>
              <w:t>）</w:t>
            </w:r>
          </w:p>
        </w:tc>
        <w:tc>
          <w:tcPr>
            <w:tcW w:w="1009"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标杆流量</w:t>
            </w:r>
            <w:r>
              <w:rPr>
                <w:color w:val="auto"/>
                <w:kern w:val="0"/>
                <w:sz w:val="21"/>
                <w:szCs w:val="21"/>
                <w:highlight w:val="none"/>
                <w:lang w:bidi="ar"/>
              </w:rPr>
              <w:t>（m</w:t>
            </w:r>
            <w:r>
              <w:rPr>
                <w:color w:val="auto"/>
                <w:kern w:val="0"/>
                <w:sz w:val="21"/>
                <w:szCs w:val="21"/>
                <w:highlight w:val="none"/>
                <w:vertAlign w:val="superscript"/>
                <w:lang w:bidi="ar"/>
              </w:rPr>
              <w:t>3</w:t>
            </w:r>
            <w:r>
              <w:rPr>
                <w:color w:val="auto"/>
                <w:kern w:val="0"/>
                <w:sz w:val="21"/>
                <w:szCs w:val="21"/>
                <w:highlight w:val="none"/>
                <w:lang w:bidi="ar"/>
              </w:rPr>
              <w:t>/h）</w:t>
            </w:r>
          </w:p>
        </w:tc>
        <w:tc>
          <w:tcPr>
            <w:tcW w:w="1050"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排放速率（kg/h）</w:t>
            </w:r>
          </w:p>
        </w:tc>
        <w:tc>
          <w:tcPr>
            <w:tcW w:w="139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675"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#1</w:t>
            </w:r>
          </w:p>
        </w:tc>
        <w:tc>
          <w:tcPr>
            <w:tcW w:w="1410"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M-1#</w:t>
            </w:r>
            <w:r>
              <w:rPr>
                <w:rFonts w:hint="eastAsia"/>
                <w:color w:val="auto"/>
                <w:kern w:val="0"/>
                <w:sz w:val="21"/>
                <w:szCs w:val="21"/>
                <w:highlight w:val="none"/>
                <w:lang w:bidi="ar"/>
              </w:rPr>
              <w:t>转运站</w:t>
            </w:r>
          </w:p>
        </w:tc>
        <w:tc>
          <w:tcPr>
            <w:tcW w:w="885"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7350</w:t>
            </w:r>
          </w:p>
        </w:tc>
        <w:tc>
          <w:tcPr>
            <w:tcW w:w="972"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颗粒物</w:t>
            </w:r>
          </w:p>
        </w:tc>
        <w:tc>
          <w:tcPr>
            <w:tcW w:w="104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146</w:t>
            </w:r>
          </w:p>
        </w:tc>
        <w:tc>
          <w:tcPr>
            <w:tcW w:w="941"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4708</w:t>
            </w:r>
          </w:p>
        </w:tc>
        <w:tc>
          <w:tcPr>
            <w:tcW w:w="914"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0.69</w:t>
            </w:r>
          </w:p>
        </w:tc>
        <w:tc>
          <w:tcPr>
            <w:tcW w:w="88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5.072 </w:t>
            </w:r>
          </w:p>
        </w:tc>
        <w:tc>
          <w:tcPr>
            <w:tcW w:w="99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82.61%</w:t>
            </w:r>
          </w:p>
        </w:tc>
        <w:tc>
          <w:tcPr>
            <w:tcW w:w="98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15</w:t>
            </w:r>
          </w:p>
        </w:tc>
        <w:tc>
          <w:tcPr>
            <w:tcW w:w="117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25.5</w:t>
            </w:r>
          </w:p>
        </w:tc>
        <w:tc>
          <w:tcPr>
            <w:tcW w:w="1009"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4586</w:t>
            </w:r>
          </w:p>
        </w:tc>
        <w:tc>
          <w:tcPr>
            <w:tcW w:w="1050"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0.12</w:t>
            </w:r>
          </w:p>
        </w:tc>
        <w:tc>
          <w:tcPr>
            <w:tcW w:w="139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0.882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675"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#2</w:t>
            </w:r>
          </w:p>
        </w:tc>
        <w:tc>
          <w:tcPr>
            <w:tcW w:w="1410"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M-2#</w:t>
            </w:r>
            <w:r>
              <w:rPr>
                <w:rFonts w:hint="eastAsia"/>
                <w:color w:val="auto"/>
                <w:kern w:val="0"/>
                <w:sz w:val="21"/>
                <w:szCs w:val="21"/>
                <w:highlight w:val="none"/>
                <w:lang w:bidi="ar"/>
              </w:rPr>
              <w:t>转运站</w:t>
            </w:r>
          </w:p>
        </w:tc>
        <w:tc>
          <w:tcPr>
            <w:tcW w:w="885"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7350</w:t>
            </w:r>
          </w:p>
        </w:tc>
        <w:tc>
          <w:tcPr>
            <w:tcW w:w="972"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颗粒物</w:t>
            </w:r>
          </w:p>
        </w:tc>
        <w:tc>
          <w:tcPr>
            <w:tcW w:w="104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193</w:t>
            </w:r>
          </w:p>
        </w:tc>
        <w:tc>
          <w:tcPr>
            <w:tcW w:w="941"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27033</w:t>
            </w:r>
          </w:p>
        </w:tc>
        <w:tc>
          <w:tcPr>
            <w:tcW w:w="914"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5.23</w:t>
            </w:r>
          </w:p>
        </w:tc>
        <w:tc>
          <w:tcPr>
            <w:tcW w:w="88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38.441 </w:t>
            </w:r>
          </w:p>
        </w:tc>
        <w:tc>
          <w:tcPr>
            <w:tcW w:w="99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88.53%</w:t>
            </w:r>
          </w:p>
        </w:tc>
        <w:tc>
          <w:tcPr>
            <w:tcW w:w="98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15</w:t>
            </w:r>
          </w:p>
        </w:tc>
        <w:tc>
          <w:tcPr>
            <w:tcW w:w="117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23.0</w:t>
            </w:r>
          </w:p>
        </w:tc>
        <w:tc>
          <w:tcPr>
            <w:tcW w:w="1009"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26105</w:t>
            </w:r>
          </w:p>
        </w:tc>
        <w:tc>
          <w:tcPr>
            <w:tcW w:w="1050"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0.60</w:t>
            </w:r>
          </w:p>
        </w:tc>
        <w:tc>
          <w:tcPr>
            <w:tcW w:w="139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4.410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675"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#3</w:t>
            </w:r>
          </w:p>
        </w:tc>
        <w:tc>
          <w:tcPr>
            <w:tcW w:w="1410"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M-3#</w:t>
            </w:r>
            <w:r>
              <w:rPr>
                <w:rFonts w:hint="eastAsia"/>
                <w:color w:val="auto"/>
                <w:kern w:val="0"/>
                <w:sz w:val="21"/>
                <w:szCs w:val="21"/>
                <w:highlight w:val="none"/>
                <w:lang w:bidi="ar"/>
              </w:rPr>
              <w:t>转运站</w:t>
            </w:r>
          </w:p>
        </w:tc>
        <w:tc>
          <w:tcPr>
            <w:tcW w:w="885"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7350</w:t>
            </w:r>
          </w:p>
        </w:tc>
        <w:tc>
          <w:tcPr>
            <w:tcW w:w="972"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颗粒物</w:t>
            </w:r>
          </w:p>
        </w:tc>
        <w:tc>
          <w:tcPr>
            <w:tcW w:w="104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160</w:t>
            </w:r>
          </w:p>
        </w:tc>
        <w:tc>
          <w:tcPr>
            <w:tcW w:w="941"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4984</w:t>
            </w:r>
          </w:p>
        </w:tc>
        <w:tc>
          <w:tcPr>
            <w:tcW w:w="914"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0.80</w:t>
            </w:r>
          </w:p>
        </w:tc>
        <w:tc>
          <w:tcPr>
            <w:tcW w:w="88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5.880 </w:t>
            </w:r>
          </w:p>
        </w:tc>
        <w:tc>
          <w:tcPr>
            <w:tcW w:w="996"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88.75%</w:t>
            </w:r>
          </w:p>
        </w:tc>
        <w:tc>
          <w:tcPr>
            <w:tcW w:w="98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15</w:t>
            </w:r>
          </w:p>
        </w:tc>
        <w:tc>
          <w:tcPr>
            <w:tcW w:w="1173"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17.8</w:t>
            </w:r>
          </w:p>
        </w:tc>
        <w:tc>
          <w:tcPr>
            <w:tcW w:w="1009"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4881</w:t>
            </w:r>
          </w:p>
        </w:tc>
        <w:tc>
          <w:tcPr>
            <w:tcW w:w="1050" w:type="dxa"/>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0.09</w:t>
            </w:r>
          </w:p>
        </w:tc>
        <w:tc>
          <w:tcPr>
            <w:tcW w:w="1391"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 xml:space="preserve">0.662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7" w:hRule="atLeast"/>
        </w:trPr>
        <w:tc>
          <w:tcPr>
            <w:tcW w:w="675" w:type="dxa"/>
            <w:vAlign w:val="center"/>
          </w:tcPr>
          <w:p>
            <w:pPr>
              <w:widowControl/>
              <w:jc w:val="center"/>
              <w:textAlignment w:val="center"/>
              <w:rPr>
                <w:rFonts w:hint="eastAsia" w:eastAsia="宋体"/>
                <w:color w:val="auto"/>
                <w:kern w:val="0"/>
                <w:sz w:val="21"/>
                <w:szCs w:val="21"/>
                <w:highlight w:val="none"/>
                <w:lang w:eastAsia="zh-CN" w:bidi="ar"/>
              </w:rPr>
            </w:pPr>
            <w:r>
              <w:rPr>
                <w:color w:val="auto"/>
                <w:kern w:val="0"/>
                <w:sz w:val="21"/>
                <w:szCs w:val="21"/>
                <w:highlight w:val="none"/>
                <w:lang w:bidi="ar"/>
              </w:rPr>
              <w:t>#</w:t>
            </w:r>
            <w:r>
              <w:rPr>
                <w:rFonts w:hint="eastAsia"/>
                <w:color w:val="auto"/>
                <w:kern w:val="0"/>
                <w:sz w:val="21"/>
                <w:szCs w:val="21"/>
                <w:highlight w:val="none"/>
                <w:lang w:val="en-US" w:eastAsia="zh-CN" w:bidi="ar"/>
              </w:rPr>
              <w:t>4</w:t>
            </w:r>
          </w:p>
        </w:tc>
        <w:tc>
          <w:tcPr>
            <w:tcW w:w="1410" w:type="dxa"/>
            <w:vAlign w:val="center"/>
          </w:tcPr>
          <w:p>
            <w:pPr>
              <w:widowControl/>
              <w:jc w:val="center"/>
              <w:textAlignment w:val="center"/>
              <w:rPr>
                <w:color w:val="auto"/>
                <w:kern w:val="0"/>
                <w:sz w:val="21"/>
                <w:szCs w:val="21"/>
                <w:highlight w:val="none"/>
                <w:lang w:bidi="ar"/>
              </w:rPr>
            </w:pPr>
            <w:r>
              <w:rPr>
                <w:rFonts w:hint="eastAsia"/>
                <w:color w:val="auto"/>
                <w:sz w:val="21"/>
                <w:szCs w:val="21"/>
                <w:highlight w:val="none"/>
                <w:lang w:val="en-US" w:eastAsia="zh-CN"/>
              </w:rPr>
              <w:t>东南铜M-8#</w:t>
            </w:r>
            <w:r>
              <w:rPr>
                <w:rFonts w:hint="eastAsia"/>
                <w:color w:val="auto"/>
                <w:sz w:val="21"/>
                <w:szCs w:val="21"/>
                <w:highlight w:val="none"/>
              </w:rPr>
              <w:t>转运站</w:t>
            </w:r>
          </w:p>
        </w:tc>
        <w:tc>
          <w:tcPr>
            <w:tcW w:w="885" w:type="dxa"/>
            <w:vAlign w:val="center"/>
          </w:tcPr>
          <w:p>
            <w:pPr>
              <w:widowControl/>
              <w:jc w:val="center"/>
              <w:textAlignment w:val="center"/>
              <w:rPr>
                <w:rFonts w:hint="eastAsia"/>
                <w:color w:val="auto"/>
                <w:kern w:val="0"/>
                <w:sz w:val="21"/>
                <w:szCs w:val="21"/>
                <w:highlight w:val="none"/>
                <w:lang w:bidi="ar"/>
              </w:rPr>
            </w:pPr>
            <w:r>
              <w:rPr>
                <w:rFonts w:hint="eastAsia"/>
                <w:color w:val="auto"/>
                <w:kern w:val="0"/>
                <w:sz w:val="21"/>
                <w:szCs w:val="21"/>
                <w:highlight w:val="none"/>
                <w:lang w:bidi="ar"/>
              </w:rPr>
              <w:t>7350</w:t>
            </w:r>
          </w:p>
        </w:tc>
        <w:tc>
          <w:tcPr>
            <w:tcW w:w="972" w:type="dxa"/>
            <w:vAlign w:val="center"/>
          </w:tcPr>
          <w:p>
            <w:pPr>
              <w:widowControl/>
              <w:jc w:val="center"/>
              <w:textAlignment w:val="center"/>
              <w:rPr>
                <w:color w:val="auto"/>
                <w:kern w:val="0"/>
                <w:sz w:val="21"/>
                <w:szCs w:val="21"/>
                <w:highlight w:val="none"/>
                <w:lang w:bidi="ar"/>
              </w:rPr>
            </w:pPr>
            <w:r>
              <w:rPr>
                <w:color w:val="auto"/>
                <w:kern w:val="0"/>
                <w:sz w:val="21"/>
                <w:szCs w:val="21"/>
                <w:highlight w:val="none"/>
                <w:lang w:bidi="ar"/>
              </w:rPr>
              <w:t>颗粒物</w:t>
            </w:r>
          </w:p>
        </w:tc>
        <w:tc>
          <w:tcPr>
            <w:tcW w:w="1043" w:type="dxa"/>
            <w:vAlign w:val="center"/>
          </w:tcPr>
          <w:p>
            <w:pPr>
              <w:widowControl/>
              <w:jc w:val="center"/>
              <w:textAlignment w:val="center"/>
              <w:rPr>
                <w:rFonts w:hint="eastAsia"/>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38.593 </w:t>
            </w:r>
          </w:p>
        </w:tc>
        <w:tc>
          <w:tcPr>
            <w:tcW w:w="941" w:type="dxa"/>
            <w:vAlign w:val="center"/>
          </w:tcPr>
          <w:p>
            <w:pPr>
              <w:widowControl/>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914"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0.270 </w:t>
            </w:r>
          </w:p>
        </w:tc>
        <w:tc>
          <w:tcPr>
            <w:tcW w:w="886"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1.986</w:t>
            </w:r>
          </w:p>
        </w:tc>
        <w:tc>
          <w:tcPr>
            <w:tcW w:w="996" w:type="dxa"/>
            <w:vAlign w:val="center"/>
          </w:tcPr>
          <w:p>
            <w:pPr>
              <w:widowControl/>
              <w:jc w:val="center"/>
              <w:textAlignment w:val="center"/>
              <w:rPr>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86.63</w:t>
            </w:r>
          </w:p>
        </w:tc>
        <w:tc>
          <w:tcPr>
            <w:tcW w:w="981" w:type="dxa"/>
            <w:vAlign w:val="center"/>
          </w:tcPr>
          <w:p>
            <w:pPr>
              <w:widowControl/>
              <w:jc w:val="center"/>
              <w:textAlignment w:val="center"/>
              <w:rPr>
                <w:color w:val="auto"/>
                <w:kern w:val="0"/>
                <w:sz w:val="21"/>
                <w:szCs w:val="21"/>
                <w:highlight w:val="none"/>
                <w:lang w:bidi="ar"/>
              </w:rPr>
            </w:pPr>
            <w:r>
              <w:rPr>
                <w:rFonts w:hint="default" w:eastAsia="宋体"/>
                <w:color w:val="auto"/>
                <w:kern w:val="0"/>
                <w:sz w:val="21"/>
                <w:szCs w:val="21"/>
                <w:highlight w:val="none"/>
                <w:lang w:val="en-US" w:eastAsia="zh-CN" w:bidi="ar"/>
              </w:rPr>
              <w:t>15</w:t>
            </w:r>
          </w:p>
        </w:tc>
        <w:tc>
          <w:tcPr>
            <w:tcW w:w="1173" w:type="dxa"/>
            <w:vAlign w:val="center"/>
          </w:tcPr>
          <w:p>
            <w:pPr>
              <w:widowControl/>
              <w:jc w:val="center"/>
              <w:textAlignment w:val="center"/>
              <w:rPr>
                <w:rFonts w:hint="eastAsia"/>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5.160 </w:t>
            </w:r>
          </w:p>
        </w:tc>
        <w:tc>
          <w:tcPr>
            <w:tcW w:w="1009" w:type="dxa"/>
            <w:vAlign w:val="center"/>
          </w:tcPr>
          <w:p>
            <w:pPr>
              <w:widowControl/>
              <w:jc w:val="center"/>
              <w:textAlignment w:val="center"/>
              <w:rPr>
                <w:rFonts w:hint="eastAsia"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w:t>
            </w:r>
          </w:p>
        </w:tc>
        <w:tc>
          <w:tcPr>
            <w:tcW w:w="1050"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c>
          <w:tcPr>
            <w:tcW w:w="1391" w:type="dxa"/>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0.265 </w:t>
            </w:r>
          </w:p>
        </w:tc>
      </w:tr>
    </w:tbl>
    <w:p>
      <w:pPr>
        <w:pStyle w:val="32"/>
        <w:spacing w:line="240" w:lineRule="auto"/>
        <w:ind w:firstLine="0" w:firstLineChars="0"/>
        <w:rPr>
          <w:rFonts w:hint="eastAsia"/>
          <w:color w:val="auto"/>
          <w:sz w:val="20"/>
          <w:szCs w:val="20"/>
          <w:highlight w:val="none"/>
        </w:rPr>
      </w:pPr>
      <w:r>
        <w:rPr>
          <w:rFonts w:hint="eastAsia"/>
          <w:color w:val="auto"/>
          <w:sz w:val="20"/>
          <w:szCs w:val="20"/>
          <w:highlight w:val="none"/>
        </w:rPr>
        <w:t>注：上表引用《福州港三都澳港区漳湾作业区10号泊位工程竣工环保验收调查报告》，选两天监测平均值中较大值，为码头至</w:t>
      </w:r>
      <w:r>
        <w:rPr>
          <w:rFonts w:hint="eastAsia"/>
          <w:color w:val="auto"/>
          <w:sz w:val="20"/>
          <w:szCs w:val="20"/>
          <w:highlight w:val="none"/>
          <w:lang w:val="en-US" w:eastAsia="zh-CN"/>
        </w:rPr>
        <w:t>东南铜M-8#</w:t>
      </w:r>
      <w:r>
        <w:rPr>
          <w:rFonts w:hint="eastAsia"/>
          <w:color w:val="auto"/>
          <w:sz w:val="20"/>
          <w:szCs w:val="20"/>
          <w:highlight w:val="none"/>
        </w:rPr>
        <w:t>转运站输送过程的粉尘，根据验收报告，铜精矿转运年工作时间为350天，每天21h，产生量和排放量根据年工作时间核算，验收时工况达到269%，监测数据具有代表性。</w:t>
      </w:r>
    </w:p>
    <w:p>
      <w:pPr>
        <w:pStyle w:val="32"/>
        <w:spacing w:line="240" w:lineRule="auto"/>
        <w:ind w:firstLine="0" w:firstLineChars="0"/>
        <w:rPr>
          <w:rFonts w:hint="eastAsia"/>
          <w:color w:val="auto"/>
          <w:sz w:val="20"/>
          <w:szCs w:val="20"/>
          <w:highlight w:val="none"/>
        </w:rPr>
      </w:pPr>
    </w:p>
    <w:p>
      <w:pPr>
        <w:pStyle w:val="36"/>
        <w:rPr>
          <w:color w:val="auto"/>
          <w:highlight w:val="none"/>
        </w:rPr>
      </w:pPr>
      <w:r>
        <w:rPr>
          <w:rFonts w:hint="eastAsia"/>
          <w:color w:val="auto"/>
          <w:highlight w:val="none"/>
        </w:rPr>
        <w:t>表4.2.4  本项目皮带运输过程各转运站污染物排放核算情况一览表</w:t>
      </w:r>
    </w:p>
    <w:tbl>
      <w:tblPr>
        <w:tblStyle w:val="2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1338"/>
        <w:gridCol w:w="912"/>
        <w:gridCol w:w="938"/>
        <w:gridCol w:w="2037"/>
        <w:gridCol w:w="1090"/>
        <w:gridCol w:w="1109"/>
        <w:gridCol w:w="1109"/>
        <w:gridCol w:w="930"/>
        <w:gridCol w:w="866"/>
        <w:gridCol w:w="1277"/>
        <w:gridCol w:w="111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7"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排气筒编号</w:t>
            </w:r>
          </w:p>
        </w:tc>
        <w:tc>
          <w:tcPr>
            <w:tcW w:w="463"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排气筒位置</w:t>
            </w:r>
          </w:p>
        </w:tc>
        <w:tc>
          <w:tcPr>
            <w:tcW w:w="315"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风机量（</w:t>
            </w:r>
            <w:r>
              <w:rPr>
                <w:color w:val="auto"/>
                <w:kern w:val="0"/>
                <w:sz w:val="21"/>
                <w:szCs w:val="21"/>
                <w:highlight w:val="none"/>
                <w:lang w:bidi="ar"/>
              </w:rPr>
              <w:t>m</w:t>
            </w:r>
            <w:r>
              <w:rPr>
                <w:color w:val="auto"/>
                <w:kern w:val="0"/>
                <w:sz w:val="21"/>
                <w:szCs w:val="21"/>
                <w:highlight w:val="none"/>
                <w:vertAlign w:val="superscript"/>
                <w:lang w:bidi="ar"/>
              </w:rPr>
              <w:t>3</w:t>
            </w:r>
            <w:r>
              <w:rPr>
                <w:color w:val="auto"/>
                <w:kern w:val="0"/>
                <w:sz w:val="21"/>
                <w:szCs w:val="21"/>
                <w:highlight w:val="none"/>
                <w:lang w:bidi="ar"/>
              </w:rPr>
              <w:t>/h</w:t>
            </w:r>
            <w:r>
              <w:rPr>
                <w:rFonts w:hint="eastAsia" w:ascii="宋体" w:hAnsi="宋体" w:cs="宋体"/>
                <w:color w:val="auto"/>
                <w:kern w:val="0"/>
                <w:sz w:val="21"/>
                <w:szCs w:val="21"/>
                <w:highlight w:val="none"/>
                <w:lang w:bidi="ar"/>
              </w:rPr>
              <w:t>）</w:t>
            </w:r>
          </w:p>
        </w:tc>
        <w:tc>
          <w:tcPr>
            <w:tcW w:w="324"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工作时间（</w:t>
            </w:r>
            <w:r>
              <w:rPr>
                <w:color w:val="auto"/>
                <w:kern w:val="0"/>
                <w:sz w:val="21"/>
                <w:szCs w:val="21"/>
                <w:highlight w:val="none"/>
                <w:lang w:bidi="ar"/>
              </w:rPr>
              <w:t>h/a</w:t>
            </w:r>
            <w:r>
              <w:rPr>
                <w:rFonts w:hint="eastAsia" w:ascii="宋体" w:hAnsi="宋体" w:cs="宋体"/>
                <w:color w:val="auto"/>
                <w:kern w:val="0"/>
                <w:sz w:val="21"/>
                <w:szCs w:val="21"/>
                <w:highlight w:val="none"/>
                <w:lang w:bidi="ar"/>
              </w:rPr>
              <w:t>）</w:t>
            </w:r>
          </w:p>
        </w:tc>
        <w:tc>
          <w:tcPr>
            <w:tcW w:w="705"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污染物</w:t>
            </w:r>
          </w:p>
        </w:tc>
        <w:tc>
          <w:tcPr>
            <w:tcW w:w="1146" w:type="pct"/>
            <w:gridSpan w:val="3"/>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产生情况</w:t>
            </w:r>
          </w:p>
        </w:tc>
        <w:tc>
          <w:tcPr>
            <w:tcW w:w="322"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净化效率（</w:t>
            </w:r>
            <w:r>
              <w:rPr>
                <w:color w:val="auto"/>
                <w:kern w:val="0"/>
                <w:sz w:val="21"/>
                <w:szCs w:val="21"/>
                <w:highlight w:val="none"/>
                <w:lang w:bidi="ar"/>
              </w:rPr>
              <w:t>%</w:t>
            </w:r>
            <w:r>
              <w:rPr>
                <w:rFonts w:hint="eastAsia" w:ascii="宋体" w:hAnsi="宋体" w:cs="宋体"/>
                <w:color w:val="auto"/>
                <w:kern w:val="0"/>
                <w:sz w:val="21"/>
                <w:szCs w:val="21"/>
                <w:highlight w:val="none"/>
                <w:lang w:bidi="ar"/>
              </w:rPr>
              <w:t>）</w:t>
            </w:r>
          </w:p>
        </w:tc>
        <w:tc>
          <w:tcPr>
            <w:tcW w:w="300" w:type="pct"/>
            <w:vMerge w:val="restar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排气筒高度（</w:t>
            </w:r>
            <w:r>
              <w:rPr>
                <w:color w:val="auto"/>
                <w:kern w:val="0"/>
                <w:sz w:val="21"/>
                <w:szCs w:val="21"/>
                <w:highlight w:val="none"/>
                <w:lang w:bidi="ar"/>
              </w:rPr>
              <w:t>m</w:t>
            </w:r>
            <w:r>
              <w:rPr>
                <w:rFonts w:hint="eastAsia" w:ascii="宋体" w:hAnsi="宋体" w:cs="宋体"/>
                <w:color w:val="auto"/>
                <w:kern w:val="0"/>
                <w:sz w:val="21"/>
                <w:szCs w:val="21"/>
                <w:highlight w:val="none"/>
                <w:lang w:bidi="ar"/>
              </w:rPr>
              <w:t>）</w:t>
            </w:r>
          </w:p>
        </w:tc>
        <w:tc>
          <w:tcPr>
            <w:tcW w:w="1123" w:type="pct"/>
            <w:gridSpan w:val="3"/>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297" w:type="pct"/>
            <w:vMerge w:val="continue"/>
            <w:vAlign w:val="center"/>
          </w:tcPr>
          <w:p>
            <w:pPr>
              <w:widowControl/>
              <w:jc w:val="center"/>
              <w:textAlignment w:val="center"/>
              <w:rPr>
                <w:rFonts w:hint="eastAsia" w:ascii="宋体" w:hAnsi="宋体" w:cs="宋体"/>
                <w:color w:val="auto"/>
                <w:sz w:val="21"/>
                <w:szCs w:val="21"/>
                <w:highlight w:val="none"/>
              </w:rPr>
            </w:pPr>
          </w:p>
        </w:tc>
        <w:tc>
          <w:tcPr>
            <w:tcW w:w="463" w:type="pct"/>
            <w:vMerge w:val="continue"/>
            <w:vAlign w:val="center"/>
          </w:tcPr>
          <w:p>
            <w:pPr>
              <w:jc w:val="center"/>
              <w:rPr>
                <w:rFonts w:hint="eastAsia" w:ascii="宋体" w:hAnsi="宋体" w:cs="宋体"/>
                <w:color w:val="auto"/>
                <w:sz w:val="21"/>
                <w:szCs w:val="21"/>
                <w:highlight w:val="none"/>
              </w:rPr>
            </w:pPr>
          </w:p>
        </w:tc>
        <w:tc>
          <w:tcPr>
            <w:tcW w:w="315" w:type="pct"/>
            <w:vMerge w:val="continue"/>
            <w:vAlign w:val="center"/>
          </w:tcPr>
          <w:p>
            <w:pPr>
              <w:jc w:val="center"/>
              <w:rPr>
                <w:rFonts w:hint="eastAsia" w:ascii="宋体" w:hAnsi="宋体" w:cs="宋体"/>
                <w:color w:val="auto"/>
                <w:sz w:val="21"/>
                <w:szCs w:val="21"/>
                <w:highlight w:val="none"/>
              </w:rPr>
            </w:pPr>
          </w:p>
        </w:tc>
        <w:tc>
          <w:tcPr>
            <w:tcW w:w="324" w:type="pct"/>
            <w:vMerge w:val="continue"/>
            <w:vAlign w:val="center"/>
          </w:tcPr>
          <w:p>
            <w:pPr>
              <w:jc w:val="center"/>
              <w:rPr>
                <w:rFonts w:hint="eastAsia" w:ascii="宋体" w:hAnsi="宋体" w:cs="宋体"/>
                <w:color w:val="auto"/>
                <w:sz w:val="21"/>
                <w:szCs w:val="21"/>
                <w:highlight w:val="none"/>
              </w:rPr>
            </w:pPr>
          </w:p>
        </w:tc>
        <w:tc>
          <w:tcPr>
            <w:tcW w:w="705" w:type="pct"/>
            <w:vMerge w:val="continue"/>
            <w:vAlign w:val="center"/>
          </w:tcPr>
          <w:p>
            <w:pPr>
              <w:jc w:val="center"/>
              <w:rPr>
                <w:rFonts w:hint="eastAsia" w:ascii="宋体" w:hAnsi="宋体" w:cs="宋体"/>
                <w:color w:val="auto"/>
                <w:sz w:val="21"/>
                <w:szCs w:val="21"/>
                <w:highlight w:val="none"/>
              </w:rPr>
            </w:pPr>
          </w:p>
        </w:tc>
        <w:tc>
          <w:tcPr>
            <w:tcW w:w="377"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产生浓度（</w:t>
            </w:r>
            <w:r>
              <w:rPr>
                <w:color w:val="auto"/>
                <w:kern w:val="0"/>
                <w:sz w:val="21"/>
                <w:szCs w:val="21"/>
                <w:highlight w:val="none"/>
                <w:lang w:bidi="ar"/>
              </w:rPr>
              <w:t>mg/m</w:t>
            </w:r>
            <w:r>
              <w:rPr>
                <w:color w:val="auto"/>
                <w:kern w:val="0"/>
                <w:sz w:val="21"/>
                <w:szCs w:val="21"/>
                <w:highlight w:val="none"/>
                <w:vertAlign w:val="superscript"/>
                <w:lang w:bidi="ar"/>
              </w:rPr>
              <w:t>3</w:t>
            </w:r>
            <w:r>
              <w:rPr>
                <w:rFonts w:hint="eastAsia" w:ascii="宋体" w:hAnsi="宋体" w:cs="宋体"/>
                <w:color w:val="auto"/>
                <w:kern w:val="0"/>
                <w:sz w:val="21"/>
                <w:szCs w:val="21"/>
                <w:highlight w:val="none"/>
                <w:lang w:bidi="ar"/>
              </w:rPr>
              <w:t>）</w:t>
            </w:r>
          </w:p>
        </w:tc>
        <w:tc>
          <w:tcPr>
            <w:tcW w:w="384"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产生速率（</w:t>
            </w:r>
            <w:r>
              <w:rPr>
                <w:color w:val="auto"/>
                <w:kern w:val="0"/>
                <w:sz w:val="21"/>
                <w:szCs w:val="21"/>
                <w:highlight w:val="none"/>
                <w:lang w:bidi="ar"/>
              </w:rPr>
              <w:t>kg/h</w:t>
            </w:r>
            <w:r>
              <w:rPr>
                <w:rFonts w:hint="eastAsia" w:ascii="宋体" w:hAnsi="宋体" w:cs="宋体"/>
                <w:color w:val="auto"/>
                <w:kern w:val="0"/>
                <w:sz w:val="21"/>
                <w:szCs w:val="21"/>
                <w:highlight w:val="none"/>
                <w:lang w:bidi="ar"/>
              </w:rPr>
              <w:t>）</w:t>
            </w:r>
          </w:p>
        </w:tc>
        <w:tc>
          <w:tcPr>
            <w:tcW w:w="384"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产生量（</w:t>
            </w:r>
            <w:r>
              <w:rPr>
                <w:color w:val="auto"/>
                <w:kern w:val="0"/>
                <w:sz w:val="21"/>
                <w:szCs w:val="21"/>
                <w:highlight w:val="none"/>
                <w:lang w:bidi="ar"/>
              </w:rPr>
              <w:t>t/a</w:t>
            </w:r>
            <w:r>
              <w:rPr>
                <w:rFonts w:hint="eastAsia" w:ascii="宋体" w:hAnsi="宋体" w:cs="宋体"/>
                <w:color w:val="auto"/>
                <w:kern w:val="0"/>
                <w:sz w:val="21"/>
                <w:szCs w:val="21"/>
                <w:highlight w:val="none"/>
                <w:lang w:bidi="ar"/>
              </w:rPr>
              <w:t>）</w:t>
            </w:r>
          </w:p>
        </w:tc>
        <w:tc>
          <w:tcPr>
            <w:tcW w:w="322" w:type="pct"/>
            <w:vMerge w:val="continue"/>
            <w:vAlign w:val="center"/>
          </w:tcPr>
          <w:p>
            <w:pPr>
              <w:jc w:val="center"/>
              <w:rPr>
                <w:rFonts w:hint="eastAsia" w:ascii="宋体" w:hAnsi="宋体" w:cs="宋体"/>
                <w:color w:val="auto"/>
                <w:sz w:val="21"/>
                <w:szCs w:val="21"/>
                <w:highlight w:val="none"/>
              </w:rPr>
            </w:pPr>
          </w:p>
        </w:tc>
        <w:tc>
          <w:tcPr>
            <w:tcW w:w="300" w:type="pct"/>
            <w:vMerge w:val="continue"/>
            <w:vAlign w:val="center"/>
          </w:tcPr>
          <w:p>
            <w:pPr>
              <w:jc w:val="center"/>
              <w:rPr>
                <w:rFonts w:hint="eastAsia" w:ascii="宋体" w:hAnsi="宋体" w:cs="宋体"/>
                <w:color w:val="auto"/>
                <w:sz w:val="21"/>
                <w:szCs w:val="21"/>
                <w:highlight w:val="none"/>
              </w:rPr>
            </w:pPr>
          </w:p>
        </w:tc>
        <w:tc>
          <w:tcPr>
            <w:tcW w:w="442"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排放浓度（</w:t>
            </w:r>
            <w:r>
              <w:rPr>
                <w:color w:val="auto"/>
                <w:kern w:val="0"/>
                <w:sz w:val="21"/>
                <w:szCs w:val="21"/>
                <w:highlight w:val="none"/>
                <w:lang w:bidi="ar"/>
              </w:rPr>
              <w:t>mg/m</w:t>
            </w:r>
            <w:r>
              <w:rPr>
                <w:color w:val="auto"/>
                <w:kern w:val="0"/>
                <w:sz w:val="21"/>
                <w:szCs w:val="21"/>
                <w:highlight w:val="none"/>
                <w:vertAlign w:val="superscript"/>
                <w:lang w:bidi="ar"/>
              </w:rPr>
              <w:t>3</w:t>
            </w:r>
            <w:r>
              <w:rPr>
                <w:rFonts w:hint="eastAsia" w:ascii="宋体" w:hAnsi="宋体" w:cs="宋体"/>
                <w:color w:val="auto"/>
                <w:kern w:val="0"/>
                <w:sz w:val="21"/>
                <w:szCs w:val="21"/>
                <w:highlight w:val="none"/>
                <w:lang w:bidi="ar"/>
              </w:rPr>
              <w:t>）</w:t>
            </w:r>
          </w:p>
        </w:tc>
        <w:tc>
          <w:tcPr>
            <w:tcW w:w="384"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排放速率（</w:t>
            </w:r>
            <w:r>
              <w:rPr>
                <w:color w:val="auto"/>
                <w:kern w:val="0"/>
                <w:sz w:val="21"/>
                <w:szCs w:val="21"/>
                <w:highlight w:val="none"/>
                <w:lang w:bidi="ar"/>
              </w:rPr>
              <w:t>kg/h</w:t>
            </w:r>
            <w:r>
              <w:rPr>
                <w:rFonts w:hint="eastAsia" w:ascii="宋体" w:hAnsi="宋体" w:cs="宋体"/>
                <w:color w:val="auto"/>
                <w:kern w:val="0"/>
                <w:sz w:val="21"/>
                <w:szCs w:val="21"/>
                <w:highlight w:val="none"/>
                <w:lang w:bidi="ar"/>
              </w:rPr>
              <w:t>）</w:t>
            </w:r>
          </w:p>
        </w:tc>
        <w:tc>
          <w:tcPr>
            <w:tcW w:w="295" w:type="pct"/>
            <w:vAlign w:val="center"/>
          </w:tcPr>
          <w:p>
            <w:pPr>
              <w:widowControl/>
              <w:jc w:val="center"/>
              <w:textAlignment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bidi="ar"/>
              </w:rPr>
              <w:t>排放量（</w:t>
            </w:r>
            <w:r>
              <w:rPr>
                <w:color w:val="auto"/>
                <w:kern w:val="0"/>
                <w:sz w:val="21"/>
                <w:szCs w:val="21"/>
                <w:highlight w:val="none"/>
                <w:lang w:bidi="ar"/>
              </w:rPr>
              <w:t>t/a</w:t>
            </w:r>
            <w:r>
              <w:rPr>
                <w:rFonts w:hint="eastAsia" w:ascii="宋体" w:hAnsi="宋体" w:cs="宋体"/>
                <w:color w:val="auto"/>
                <w:kern w:val="0"/>
                <w:sz w:val="21"/>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7" w:type="pct"/>
            <w:vAlign w:val="center"/>
          </w:tcPr>
          <w:p>
            <w:pPr>
              <w:widowControl/>
              <w:jc w:val="center"/>
              <w:textAlignment w:val="center"/>
              <w:rPr>
                <w:rFonts w:hint="eastAsia" w:eastAsia="宋体"/>
                <w:color w:val="auto"/>
                <w:sz w:val="21"/>
                <w:szCs w:val="21"/>
                <w:highlight w:val="none"/>
                <w:lang w:eastAsia="zh-CN"/>
              </w:rPr>
            </w:pPr>
            <w:r>
              <w:rPr>
                <w:color w:val="auto"/>
                <w:kern w:val="0"/>
                <w:sz w:val="21"/>
                <w:szCs w:val="21"/>
                <w:highlight w:val="none"/>
                <w:lang w:bidi="ar"/>
              </w:rPr>
              <w:t>DA00</w:t>
            </w:r>
            <w:r>
              <w:rPr>
                <w:rFonts w:hint="eastAsia"/>
                <w:color w:val="auto"/>
                <w:kern w:val="0"/>
                <w:sz w:val="21"/>
                <w:szCs w:val="21"/>
                <w:highlight w:val="none"/>
                <w:lang w:val="en-US" w:eastAsia="zh-CN" w:bidi="ar"/>
              </w:rPr>
              <w:t>1</w:t>
            </w:r>
          </w:p>
        </w:tc>
        <w:tc>
          <w:tcPr>
            <w:tcW w:w="463" w:type="pct"/>
            <w:vAlign w:val="center"/>
          </w:tcPr>
          <w:p>
            <w:pPr>
              <w:widowControl/>
              <w:jc w:val="center"/>
              <w:textAlignment w:val="center"/>
              <w:rPr>
                <w:color w:val="auto"/>
                <w:sz w:val="21"/>
                <w:szCs w:val="21"/>
                <w:highlight w:val="none"/>
              </w:rPr>
            </w:pPr>
            <w:r>
              <w:rPr>
                <w:rFonts w:hint="eastAsia"/>
                <w:color w:val="auto"/>
                <w:kern w:val="0"/>
                <w:sz w:val="21"/>
                <w:szCs w:val="21"/>
                <w:highlight w:val="none"/>
                <w:lang w:val="en-US" w:eastAsia="zh-CN" w:bidi="ar"/>
              </w:rPr>
              <w:t>M-9#</w:t>
            </w:r>
            <w:r>
              <w:rPr>
                <w:rFonts w:hint="eastAsia" w:ascii="宋体" w:hAnsi="宋体" w:cs="宋体"/>
                <w:color w:val="auto"/>
                <w:kern w:val="0"/>
                <w:sz w:val="21"/>
                <w:szCs w:val="21"/>
                <w:highlight w:val="none"/>
                <w:lang w:bidi="ar"/>
              </w:rPr>
              <w:t>转运站</w:t>
            </w:r>
          </w:p>
        </w:tc>
        <w:tc>
          <w:tcPr>
            <w:tcW w:w="315" w:type="pct"/>
            <w:vAlign w:val="center"/>
          </w:tcPr>
          <w:p>
            <w:pPr>
              <w:widowControl/>
              <w:jc w:val="center"/>
              <w:textAlignment w:val="center"/>
              <w:rPr>
                <w:color w:val="auto"/>
                <w:sz w:val="21"/>
                <w:szCs w:val="21"/>
                <w:highlight w:val="none"/>
              </w:rPr>
            </w:pPr>
            <w:r>
              <w:rPr>
                <w:rFonts w:hint="eastAsia"/>
                <w:color w:val="auto"/>
                <w:kern w:val="0"/>
                <w:sz w:val="21"/>
                <w:szCs w:val="21"/>
                <w:highlight w:val="none"/>
                <w:lang w:val="en-US" w:eastAsia="zh-CN" w:bidi="ar"/>
              </w:rPr>
              <w:t>7</w:t>
            </w:r>
            <w:r>
              <w:rPr>
                <w:color w:val="auto"/>
                <w:kern w:val="0"/>
                <w:sz w:val="21"/>
                <w:szCs w:val="21"/>
                <w:highlight w:val="none"/>
                <w:lang w:bidi="ar"/>
              </w:rPr>
              <w:t>000</w:t>
            </w:r>
          </w:p>
        </w:tc>
        <w:tc>
          <w:tcPr>
            <w:tcW w:w="938" w:type="dxa"/>
            <w:vAlign w:val="center"/>
          </w:tcPr>
          <w:p>
            <w:pPr>
              <w:widowControl/>
              <w:jc w:val="center"/>
              <w:textAlignment w:val="center"/>
              <w:rPr>
                <w:rFonts w:hint="eastAsia"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3675</w:t>
            </w:r>
          </w:p>
        </w:tc>
        <w:tc>
          <w:tcPr>
            <w:tcW w:w="705" w:type="pct"/>
            <w:vAlign w:val="center"/>
          </w:tcPr>
          <w:p>
            <w:pPr>
              <w:widowControl/>
              <w:jc w:val="center"/>
              <w:textAlignment w:val="center"/>
              <w:rPr>
                <w:rFonts w:hint="eastAsia" w:eastAsia="宋体"/>
                <w:color w:val="auto"/>
                <w:kern w:val="0"/>
                <w:sz w:val="21"/>
                <w:szCs w:val="21"/>
                <w:highlight w:val="none"/>
                <w:lang w:bidi="ar"/>
              </w:rPr>
            </w:pPr>
            <w:r>
              <w:rPr>
                <w:rFonts w:hint="eastAsia" w:eastAsia="宋体"/>
                <w:color w:val="auto"/>
                <w:kern w:val="0"/>
                <w:sz w:val="21"/>
                <w:szCs w:val="21"/>
                <w:highlight w:val="none"/>
                <w:lang w:val="en-US" w:eastAsia="zh-CN" w:bidi="ar"/>
              </w:rPr>
              <w:t>颗粒物（原料转运）</w:t>
            </w:r>
          </w:p>
        </w:tc>
        <w:tc>
          <w:tcPr>
            <w:tcW w:w="109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 xml:space="preserve">77.186 </w:t>
            </w:r>
          </w:p>
        </w:tc>
        <w:tc>
          <w:tcPr>
            <w:tcW w:w="111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 xml:space="preserve">0.540 </w:t>
            </w:r>
          </w:p>
        </w:tc>
        <w:tc>
          <w:tcPr>
            <w:tcW w:w="111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1.986</w:t>
            </w:r>
          </w:p>
        </w:tc>
        <w:tc>
          <w:tcPr>
            <w:tcW w:w="930"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99.5</w:t>
            </w:r>
          </w:p>
        </w:tc>
        <w:tc>
          <w:tcPr>
            <w:tcW w:w="300" w:type="pct"/>
            <w:vAlign w:val="center"/>
          </w:tcPr>
          <w:p>
            <w:pPr>
              <w:widowControl/>
              <w:jc w:val="center"/>
              <w:textAlignment w:val="center"/>
              <w:rPr>
                <w:rFonts w:hint="default" w:eastAsia="宋体"/>
                <w:color w:val="auto"/>
                <w:kern w:val="0"/>
                <w:sz w:val="21"/>
                <w:szCs w:val="21"/>
                <w:highlight w:val="none"/>
                <w:lang w:val="en-US" w:eastAsia="zh-CN" w:bidi="ar"/>
              </w:rPr>
            </w:pPr>
            <w:r>
              <w:rPr>
                <w:rFonts w:hint="eastAsia"/>
                <w:color w:val="auto"/>
                <w:kern w:val="0"/>
                <w:sz w:val="21"/>
                <w:szCs w:val="21"/>
                <w:highlight w:val="none"/>
                <w:lang w:val="en-US" w:eastAsia="zh-CN" w:bidi="ar"/>
              </w:rPr>
              <w:t>15</w:t>
            </w:r>
          </w:p>
        </w:tc>
        <w:tc>
          <w:tcPr>
            <w:tcW w:w="1277"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0.386 </w:t>
            </w:r>
          </w:p>
        </w:tc>
        <w:tc>
          <w:tcPr>
            <w:tcW w:w="1111"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854"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7" w:type="pct"/>
            <w:vAlign w:val="center"/>
          </w:tcPr>
          <w:p>
            <w:pPr>
              <w:widowControl/>
              <w:jc w:val="center"/>
              <w:textAlignment w:val="center"/>
              <w:rPr>
                <w:rFonts w:hint="eastAsia" w:eastAsia="宋体"/>
                <w:color w:val="auto"/>
                <w:sz w:val="21"/>
                <w:szCs w:val="21"/>
                <w:highlight w:val="none"/>
                <w:lang w:eastAsia="zh-CN"/>
              </w:rPr>
            </w:pPr>
            <w:r>
              <w:rPr>
                <w:color w:val="auto"/>
                <w:kern w:val="0"/>
                <w:sz w:val="21"/>
                <w:szCs w:val="21"/>
                <w:highlight w:val="none"/>
                <w:lang w:bidi="ar"/>
              </w:rPr>
              <w:t>DA00</w:t>
            </w:r>
            <w:r>
              <w:rPr>
                <w:rFonts w:hint="eastAsia"/>
                <w:color w:val="auto"/>
                <w:kern w:val="0"/>
                <w:sz w:val="21"/>
                <w:szCs w:val="21"/>
                <w:highlight w:val="none"/>
                <w:lang w:val="en-US" w:eastAsia="zh-CN" w:bidi="ar"/>
              </w:rPr>
              <w:t>1</w:t>
            </w:r>
          </w:p>
        </w:tc>
        <w:tc>
          <w:tcPr>
            <w:tcW w:w="463" w:type="pct"/>
            <w:vAlign w:val="center"/>
          </w:tcPr>
          <w:p>
            <w:pPr>
              <w:widowControl/>
              <w:jc w:val="center"/>
              <w:textAlignment w:val="center"/>
              <w:rPr>
                <w:color w:val="auto"/>
                <w:sz w:val="21"/>
                <w:szCs w:val="21"/>
                <w:highlight w:val="none"/>
              </w:rPr>
            </w:pPr>
            <w:r>
              <w:rPr>
                <w:rFonts w:hint="eastAsia"/>
                <w:color w:val="auto"/>
                <w:kern w:val="0"/>
                <w:sz w:val="21"/>
                <w:szCs w:val="21"/>
                <w:highlight w:val="none"/>
                <w:lang w:val="en-US" w:eastAsia="zh-CN" w:bidi="ar"/>
              </w:rPr>
              <w:t>M-9#</w:t>
            </w:r>
            <w:r>
              <w:rPr>
                <w:rFonts w:hint="eastAsia" w:ascii="宋体" w:hAnsi="宋体" w:cs="宋体"/>
                <w:color w:val="auto"/>
                <w:kern w:val="0"/>
                <w:sz w:val="21"/>
                <w:szCs w:val="21"/>
                <w:highlight w:val="none"/>
                <w:lang w:bidi="ar"/>
              </w:rPr>
              <w:t>转运站</w:t>
            </w:r>
          </w:p>
        </w:tc>
        <w:tc>
          <w:tcPr>
            <w:tcW w:w="315" w:type="pct"/>
            <w:vAlign w:val="center"/>
          </w:tcPr>
          <w:p>
            <w:pPr>
              <w:widowControl/>
              <w:jc w:val="center"/>
              <w:textAlignment w:val="center"/>
              <w:rPr>
                <w:color w:val="auto"/>
                <w:sz w:val="21"/>
                <w:szCs w:val="21"/>
                <w:highlight w:val="none"/>
              </w:rPr>
            </w:pPr>
            <w:r>
              <w:rPr>
                <w:rFonts w:hint="eastAsia"/>
                <w:color w:val="auto"/>
                <w:kern w:val="0"/>
                <w:sz w:val="21"/>
                <w:szCs w:val="21"/>
                <w:highlight w:val="none"/>
                <w:lang w:val="en-US" w:eastAsia="zh-CN" w:bidi="ar"/>
              </w:rPr>
              <w:t>70</w:t>
            </w:r>
            <w:r>
              <w:rPr>
                <w:color w:val="auto"/>
                <w:kern w:val="0"/>
                <w:sz w:val="21"/>
                <w:szCs w:val="21"/>
                <w:highlight w:val="none"/>
                <w:lang w:bidi="ar"/>
              </w:rPr>
              <w:t>00</w:t>
            </w:r>
          </w:p>
        </w:tc>
        <w:tc>
          <w:tcPr>
            <w:tcW w:w="938" w:type="dxa"/>
            <w:vAlign w:val="center"/>
          </w:tcPr>
          <w:p>
            <w:pPr>
              <w:widowControl/>
              <w:jc w:val="center"/>
              <w:textAlignment w:val="center"/>
              <w:rPr>
                <w:rFonts w:hint="eastAsia"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3675</w:t>
            </w:r>
          </w:p>
        </w:tc>
        <w:tc>
          <w:tcPr>
            <w:tcW w:w="705" w:type="pct"/>
            <w:vAlign w:val="center"/>
          </w:tcPr>
          <w:p>
            <w:pPr>
              <w:widowControl/>
              <w:jc w:val="center"/>
              <w:textAlignment w:val="center"/>
              <w:rPr>
                <w:rFonts w:hint="eastAsia" w:eastAsia="宋体"/>
                <w:color w:val="auto"/>
                <w:kern w:val="0"/>
                <w:sz w:val="21"/>
                <w:szCs w:val="21"/>
                <w:highlight w:val="none"/>
                <w:lang w:bidi="ar"/>
              </w:rPr>
            </w:pPr>
            <w:r>
              <w:rPr>
                <w:rFonts w:hint="eastAsia" w:eastAsia="宋体"/>
                <w:color w:val="auto"/>
                <w:kern w:val="0"/>
                <w:sz w:val="21"/>
                <w:szCs w:val="21"/>
                <w:highlight w:val="none"/>
                <w:lang w:val="en-US" w:eastAsia="zh-CN" w:bidi="ar"/>
              </w:rPr>
              <w:t>颗粒物（</w:t>
            </w:r>
            <w:r>
              <w:rPr>
                <w:rFonts w:hint="eastAsia"/>
                <w:color w:val="auto"/>
                <w:kern w:val="0"/>
                <w:sz w:val="21"/>
                <w:szCs w:val="21"/>
                <w:highlight w:val="none"/>
                <w:lang w:val="en-US" w:eastAsia="zh-CN" w:bidi="ar"/>
              </w:rPr>
              <w:t>成品</w:t>
            </w:r>
            <w:r>
              <w:rPr>
                <w:rFonts w:hint="eastAsia" w:eastAsia="宋体"/>
                <w:color w:val="auto"/>
                <w:kern w:val="0"/>
                <w:sz w:val="21"/>
                <w:szCs w:val="21"/>
                <w:highlight w:val="none"/>
                <w:lang w:val="en-US" w:eastAsia="zh-CN" w:bidi="ar"/>
              </w:rPr>
              <w:t>转运）</w:t>
            </w:r>
          </w:p>
        </w:tc>
        <w:tc>
          <w:tcPr>
            <w:tcW w:w="109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 xml:space="preserve">98.196 </w:t>
            </w:r>
          </w:p>
        </w:tc>
        <w:tc>
          <w:tcPr>
            <w:tcW w:w="111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 xml:space="preserve">0.687 </w:t>
            </w:r>
          </w:p>
        </w:tc>
        <w:tc>
          <w:tcPr>
            <w:tcW w:w="1110" w:type="dxa"/>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 xml:space="preserve">2.526 </w:t>
            </w:r>
          </w:p>
        </w:tc>
        <w:tc>
          <w:tcPr>
            <w:tcW w:w="930"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99.5</w:t>
            </w:r>
          </w:p>
        </w:tc>
        <w:tc>
          <w:tcPr>
            <w:tcW w:w="300" w:type="pct"/>
            <w:vAlign w:val="center"/>
          </w:tcPr>
          <w:p>
            <w:pPr>
              <w:widowControl/>
              <w:jc w:val="center"/>
              <w:textAlignment w:val="center"/>
              <w:rPr>
                <w:rFonts w:hint="default" w:eastAsia="宋体"/>
                <w:color w:val="auto"/>
                <w:kern w:val="0"/>
                <w:sz w:val="21"/>
                <w:szCs w:val="21"/>
                <w:highlight w:val="none"/>
                <w:lang w:val="en-US" w:eastAsia="zh-CN" w:bidi="ar"/>
              </w:rPr>
            </w:pPr>
            <w:r>
              <w:rPr>
                <w:rFonts w:hint="default" w:eastAsia="宋体"/>
                <w:color w:val="auto"/>
                <w:kern w:val="0"/>
                <w:sz w:val="21"/>
                <w:szCs w:val="21"/>
                <w:highlight w:val="none"/>
                <w:lang w:val="en-US" w:eastAsia="zh-CN" w:bidi="ar"/>
              </w:rPr>
              <w:t>15</w:t>
            </w:r>
          </w:p>
        </w:tc>
        <w:tc>
          <w:tcPr>
            <w:tcW w:w="1277"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0.49</w:t>
            </w: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1111"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854"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401" w:type="pct"/>
            <w:gridSpan w:val="4"/>
            <w:noWrap/>
            <w:vAlign w:val="center"/>
          </w:tcPr>
          <w:p>
            <w:pPr>
              <w:widowControl/>
              <w:jc w:val="center"/>
              <w:textAlignment w:val="center"/>
              <w:rPr>
                <w:color w:val="auto"/>
                <w:kern w:val="0"/>
                <w:sz w:val="21"/>
                <w:szCs w:val="21"/>
                <w:highlight w:val="none"/>
                <w:lang w:bidi="ar"/>
              </w:rPr>
            </w:pPr>
            <w:r>
              <w:rPr>
                <w:rFonts w:hint="eastAsia"/>
                <w:color w:val="auto"/>
                <w:kern w:val="0"/>
                <w:sz w:val="21"/>
                <w:szCs w:val="21"/>
                <w:highlight w:val="none"/>
                <w:lang w:bidi="ar"/>
              </w:rPr>
              <w:t>合计</w:t>
            </w:r>
          </w:p>
        </w:tc>
        <w:tc>
          <w:tcPr>
            <w:tcW w:w="705" w:type="pct"/>
            <w:vAlign w:val="center"/>
          </w:tcPr>
          <w:p>
            <w:pPr>
              <w:widowControl/>
              <w:jc w:val="center"/>
              <w:textAlignment w:val="center"/>
              <w:rPr>
                <w:rFonts w:eastAsia="宋体"/>
                <w:color w:val="auto"/>
                <w:kern w:val="0"/>
                <w:sz w:val="21"/>
                <w:szCs w:val="21"/>
                <w:highlight w:val="none"/>
                <w:lang w:bidi="ar"/>
              </w:rPr>
            </w:pPr>
            <w:r>
              <w:rPr>
                <w:rFonts w:hint="eastAsia" w:eastAsia="宋体"/>
                <w:color w:val="auto"/>
                <w:kern w:val="0"/>
                <w:sz w:val="21"/>
                <w:szCs w:val="21"/>
                <w:highlight w:val="none"/>
                <w:lang w:bidi="ar"/>
              </w:rPr>
              <w:t>颗粒物</w:t>
            </w:r>
          </w:p>
        </w:tc>
        <w:tc>
          <w:tcPr>
            <w:tcW w:w="1090" w:type="dxa"/>
            <w:vAlign w:val="center"/>
          </w:tcPr>
          <w:p>
            <w:pPr>
              <w:jc w:val="center"/>
              <w:rPr>
                <w:rFonts w:hint="default" w:eastAsia="宋体"/>
                <w:color w:val="auto"/>
                <w:kern w:val="0"/>
                <w:sz w:val="21"/>
                <w:szCs w:val="21"/>
                <w:highlight w:val="none"/>
                <w:lang w:val="en-US" w:eastAsia="zh-CN" w:bidi="ar"/>
              </w:rPr>
            </w:pPr>
          </w:p>
        </w:tc>
        <w:tc>
          <w:tcPr>
            <w:tcW w:w="1110" w:type="dxa"/>
            <w:vAlign w:val="center"/>
          </w:tcPr>
          <w:p>
            <w:pPr>
              <w:jc w:val="center"/>
              <w:rPr>
                <w:rFonts w:hint="default" w:eastAsia="宋体"/>
                <w:color w:val="auto"/>
                <w:kern w:val="0"/>
                <w:sz w:val="21"/>
                <w:szCs w:val="21"/>
                <w:highlight w:val="none"/>
                <w:lang w:val="en-US" w:eastAsia="zh-CN" w:bidi="ar"/>
              </w:rPr>
            </w:pPr>
          </w:p>
        </w:tc>
        <w:tc>
          <w:tcPr>
            <w:tcW w:w="1110"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4.51</w:t>
            </w:r>
            <w:r>
              <w:rPr>
                <w:rFonts w:hint="eastAsia"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w:t>
            </w:r>
          </w:p>
        </w:tc>
        <w:tc>
          <w:tcPr>
            <w:tcW w:w="322" w:type="pct"/>
            <w:noWrap/>
            <w:vAlign w:val="center"/>
          </w:tcPr>
          <w:p>
            <w:pPr>
              <w:widowControl/>
              <w:jc w:val="center"/>
              <w:textAlignment w:val="center"/>
              <w:rPr>
                <w:rFonts w:hint="default" w:eastAsia="宋体"/>
                <w:color w:val="auto"/>
                <w:kern w:val="0"/>
                <w:sz w:val="21"/>
                <w:szCs w:val="21"/>
                <w:highlight w:val="none"/>
                <w:lang w:val="en-US" w:eastAsia="zh-CN" w:bidi="ar"/>
              </w:rPr>
            </w:pPr>
          </w:p>
        </w:tc>
        <w:tc>
          <w:tcPr>
            <w:tcW w:w="300" w:type="pct"/>
            <w:noWrap/>
            <w:vAlign w:val="center"/>
          </w:tcPr>
          <w:p>
            <w:pPr>
              <w:widowControl/>
              <w:jc w:val="center"/>
              <w:textAlignment w:val="center"/>
              <w:rPr>
                <w:rFonts w:hint="default" w:eastAsia="宋体"/>
                <w:color w:val="auto"/>
                <w:kern w:val="0"/>
                <w:sz w:val="21"/>
                <w:szCs w:val="21"/>
                <w:highlight w:val="none"/>
                <w:lang w:val="en-US" w:eastAsia="zh-CN" w:bidi="ar"/>
              </w:rPr>
            </w:pPr>
          </w:p>
        </w:tc>
        <w:tc>
          <w:tcPr>
            <w:tcW w:w="1277" w:type="dxa"/>
            <w:vAlign w:val="center"/>
          </w:tcPr>
          <w:p>
            <w:pPr>
              <w:jc w:val="center"/>
              <w:rPr>
                <w:rFonts w:hint="default" w:eastAsia="宋体"/>
                <w:color w:val="auto"/>
                <w:kern w:val="0"/>
                <w:sz w:val="21"/>
                <w:szCs w:val="21"/>
                <w:highlight w:val="none"/>
                <w:lang w:val="en-US" w:eastAsia="zh-CN" w:bidi="ar"/>
              </w:rPr>
            </w:pPr>
          </w:p>
        </w:tc>
        <w:tc>
          <w:tcPr>
            <w:tcW w:w="1111" w:type="dxa"/>
            <w:vAlign w:val="center"/>
          </w:tcPr>
          <w:p>
            <w:pPr>
              <w:jc w:val="center"/>
              <w:rPr>
                <w:rFonts w:hint="default" w:eastAsia="宋体"/>
                <w:color w:val="auto"/>
                <w:kern w:val="0"/>
                <w:sz w:val="21"/>
                <w:szCs w:val="21"/>
                <w:highlight w:val="none"/>
                <w:lang w:val="en-US" w:eastAsia="zh-CN" w:bidi="ar"/>
              </w:rPr>
            </w:pPr>
          </w:p>
        </w:tc>
        <w:tc>
          <w:tcPr>
            <w:tcW w:w="854" w:type="dxa"/>
            <w:vAlign w:val="center"/>
          </w:tcPr>
          <w:p>
            <w:pPr>
              <w:keepNext w:val="0"/>
              <w:keepLines w:val="0"/>
              <w:widowControl/>
              <w:suppressLineNumbers w:val="0"/>
              <w:jc w:val="center"/>
              <w:textAlignment w:val="center"/>
              <w:rPr>
                <w:rFonts w:hint="default" w:eastAsia="宋体"/>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0.023 </w:t>
            </w:r>
          </w:p>
        </w:tc>
      </w:tr>
    </w:tbl>
    <w:p>
      <w:pPr>
        <w:rPr>
          <w:rFonts w:hint="eastAsia"/>
          <w:color w:val="auto"/>
          <w:sz w:val="20"/>
          <w:szCs w:val="20"/>
          <w:highlight w:val="none"/>
          <w:lang w:eastAsia="zh-CN"/>
        </w:rPr>
      </w:pPr>
      <w:r>
        <w:rPr>
          <w:rFonts w:hint="eastAsia"/>
          <w:color w:val="auto"/>
          <w:sz w:val="20"/>
          <w:szCs w:val="20"/>
          <w:highlight w:val="none"/>
        </w:rPr>
        <w:t>注：</w:t>
      </w:r>
      <w:r>
        <w:rPr>
          <w:rFonts w:hint="eastAsia"/>
          <w:color w:val="auto"/>
          <w:sz w:val="20"/>
          <w:szCs w:val="20"/>
          <w:highlight w:val="none"/>
          <w:lang w:val="en-US" w:eastAsia="zh-CN"/>
        </w:rPr>
        <w:t>原料、成品进出均通过M-9#</w:t>
      </w:r>
      <w:r>
        <w:rPr>
          <w:rFonts w:hint="eastAsia"/>
          <w:color w:val="auto"/>
          <w:sz w:val="20"/>
          <w:szCs w:val="20"/>
          <w:highlight w:val="none"/>
        </w:rPr>
        <w:t>转运站</w:t>
      </w:r>
      <w:r>
        <w:rPr>
          <w:rFonts w:hint="eastAsia"/>
          <w:color w:val="auto"/>
          <w:sz w:val="20"/>
          <w:szCs w:val="20"/>
          <w:highlight w:val="none"/>
          <w:lang w:val="en-US" w:eastAsia="zh-CN"/>
        </w:rPr>
        <w:t>转运，原料和成品不能同时通过同一个转运站转运，工作时间各占一半</w:t>
      </w:r>
      <w:r>
        <w:rPr>
          <w:rFonts w:hint="eastAsia"/>
          <w:color w:val="auto"/>
          <w:sz w:val="20"/>
          <w:szCs w:val="20"/>
          <w:highlight w:val="none"/>
          <w:lang w:eastAsia="zh-CN"/>
        </w:rPr>
        <w:t>。</w:t>
      </w:r>
    </w:p>
    <w:p>
      <w:pPr>
        <w:pStyle w:val="32"/>
        <w:spacing w:line="240" w:lineRule="auto"/>
        <w:ind w:firstLine="0" w:firstLineChars="0"/>
        <w:rPr>
          <w:rFonts w:hint="eastAsia"/>
          <w:color w:val="auto"/>
          <w:sz w:val="20"/>
          <w:szCs w:val="20"/>
          <w:highlight w:val="none"/>
        </w:rPr>
      </w:pPr>
    </w:p>
    <w:p>
      <w:pPr>
        <w:pStyle w:val="36"/>
        <w:rPr>
          <w:rFonts w:hint="eastAsia"/>
          <w:color w:val="auto"/>
          <w:highlight w:val="none"/>
        </w:rPr>
        <w:sectPr>
          <w:pgSz w:w="16838" w:h="11906" w:orient="landscape"/>
          <w:pgMar w:top="1134" w:right="1304" w:bottom="1134" w:left="1304" w:header="851" w:footer="992" w:gutter="0"/>
          <w:cols w:space="425" w:num="1"/>
          <w:docGrid w:type="lines" w:linePitch="312" w:charSpace="0"/>
        </w:sectPr>
      </w:pPr>
    </w:p>
    <w:tbl>
      <w:tblPr>
        <w:tblStyle w:val="20"/>
        <w:tblW w:w="523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93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247" w:type="pct"/>
            <w:tcMar>
              <w:left w:w="28" w:type="dxa"/>
              <w:right w:w="28" w:type="dxa"/>
            </w:tcMar>
            <w:vAlign w:val="center"/>
          </w:tcPr>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运营</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境影</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响和</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保护</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措施</w:t>
            </w:r>
          </w:p>
        </w:tc>
        <w:tc>
          <w:tcPr>
            <w:tcW w:w="4752" w:type="pct"/>
            <w:vAlign w:val="center"/>
          </w:tcPr>
          <w:p>
            <w:pPr>
              <w:pStyle w:val="32"/>
              <w:ind w:firstLine="480"/>
              <w:rPr>
                <w:color w:val="auto"/>
                <w:highlight w:val="none"/>
              </w:rPr>
            </w:pPr>
            <w:r>
              <w:rPr>
                <w:rFonts w:hint="eastAsia"/>
                <w:color w:val="auto"/>
                <w:szCs w:val="21"/>
                <w:highlight w:val="none"/>
              </w:rPr>
              <w:t>（</w:t>
            </w:r>
            <w:r>
              <w:rPr>
                <w:rFonts w:hint="eastAsia"/>
                <w:color w:val="auto"/>
                <w:szCs w:val="21"/>
                <w:highlight w:val="none"/>
                <w:lang w:val="en-US" w:eastAsia="zh-CN"/>
              </w:rPr>
              <w:t>1</w:t>
            </w:r>
            <w:r>
              <w:rPr>
                <w:rFonts w:hint="eastAsia"/>
                <w:color w:val="auto"/>
                <w:szCs w:val="21"/>
                <w:highlight w:val="none"/>
              </w:rPr>
              <w:t>）</w:t>
            </w:r>
            <w:r>
              <w:rPr>
                <w:color w:val="auto"/>
                <w:highlight w:val="none"/>
              </w:rPr>
              <w:t>铜精矿</w:t>
            </w:r>
            <w:r>
              <w:rPr>
                <w:rFonts w:hint="eastAsia"/>
                <w:color w:val="auto"/>
                <w:highlight w:val="none"/>
              </w:rPr>
              <w:t>输送</w:t>
            </w:r>
            <w:r>
              <w:rPr>
                <w:color w:val="auto"/>
                <w:highlight w:val="none"/>
              </w:rPr>
              <w:t>粉尘</w:t>
            </w:r>
          </w:p>
          <w:p>
            <w:pPr>
              <w:pStyle w:val="32"/>
              <w:ind w:firstLine="480"/>
              <w:rPr>
                <w:color w:val="auto"/>
                <w:highlight w:val="none"/>
              </w:rPr>
            </w:pPr>
            <w:r>
              <w:rPr>
                <w:color w:val="auto"/>
                <w:highlight w:val="none"/>
              </w:rPr>
              <w:t>①</w:t>
            </w:r>
            <w:r>
              <w:rPr>
                <w:rFonts w:hint="eastAsia"/>
                <w:color w:val="auto"/>
                <w:highlight w:val="none"/>
              </w:rPr>
              <w:t>道路运输扬尘</w:t>
            </w:r>
          </w:p>
          <w:p>
            <w:pPr>
              <w:pStyle w:val="32"/>
              <w:ind w:firstLine="480"/>
              <w:rPr>
                <w:color w:val="auto"/>
                <w:highlight w:val="none"/>
              </w:rPr>
            </w:pPr>
            <w:r>
              <w:rPr>
                <w:rFonts w:hint="eastAsia"/>
                <w:color w:val="auto"/>
                <w:highlight w:val="none"/>
                <w:lang w:val="en-US" w:eastAsia="zh-CN"/>
              </w:rPr>
              <w:t>皮带检修等备用情况下，</w:t>
            </w:r>
            <w:r>
              <w:rPr>
                <w:rFonts w:hint="eastAsia"/>
                <w:color w:val="auto"/>
                <w:highlight w:val="none"/>
              </w:rPr>
              <w:t>采用</w:t>
            </w:r>
            <w:r>
              <w:rPr>
                <w:rFonts w:hint="eastAsia"/>
                <w:color w:val="auto"/>
                <w:highlight w:val="none"/>
                <w:lang w:val="en-US" w:eastAsia="zh-CN"/>
              </w:rPr>
              <w:t>吨袋或</w:t>
            </w:r>
            <w:r>
              <w:rPr>
                <w:rFonts w:hint="eastAsia"/>
                <w:color w:val="auto"/>
                <w:highlight w:val="none"/>
              </w:rPr>
              <w:t>集装箱汽运，会产生道路扬尘。根据国内道路扬尘实测资料结果类比分析，扬尘浓度随距离增加而衰减，随着车流量增加而增大，主要影响范围在公路两侧100m范围内。</w:t>
            </w:r>
          </w:p>
          <w:p>
            <w:pPr>
              <w:pStyle w:val="32"/>
              <w:ind w:firstLine="480"/>
              <w:rPr>
                <w:color w:val="auto"/>
                <w:highlight w:val="none"/>
              </w:rPr>
            </w:pPr>
            <w:r>
              <w:rPr>
                <w:rFonts w:hint="eastAsia"/>
                <w:color w:val="auto"/>
                <w:highlight w:val="none"/>
              </w:rPr>
              <w:t>由于本项目运输路线距离较短且路面硬化，同时项目原料通过</w:t>
            </w:r>
            <w:r>
              <w:rPr>
                <w:rFonts w:hint="eastAsia"/>
                <w:color w:val="auto"/>
                <w:highlight w:val="none"/>
                <w:lang w:val="en-US" w:eastAsia="zh-CN"/>
              </w:rPr>
              <w:t>吨袋或</w:t>
            </w:r>
            <w:r>
              <w:rPr>
                <w:rFonts w:hint="eastAsia"/>
                <w:color w:val="auto"/>
                <w:highlight w:val="none"/>
              </w:rPr>
              <w:t>集装箱汽车托运的方式，基本上不会洒落，因此，项目运输扬尘主要为道路起尘，运输过程中原料洒落产生的粉尘很少，可忽略不计。且原料堆场位于车间内，直接运至车间内进行卸料，不存在厂区道路扬尘，主要为保税区内道路扬尘，运输路线短，本次评价不对道路扬尘进行定量分析。采取限速、冲洗车辆、路面洒水、定期冲洗露天地面及保护路面整洁、</w:t>
            </w:r>
            <w:r>
              <w:rPr>
                <w:rFonts w:hint="eastAsia"/>
                <w:color w:val="auto"/>
                <w:highlight w:val="none"/>
                <w:lang w:eastAsia="zh-CN"/>
              </w:rPr>
              <w:t>封闭</w:t>
            </w:r>
            <w:r>
              <w:rPr>
                <w:rFonts w:hint="eastAsia"/>
                <w:color w:val="auto"/>
                <w:highlight w:val="none"/>
              </w:rPr>
              <w:t>运输等措施降低运输车辆行驶扬尘，这样粉尘外排浓度满足《大气污染物综合排放标准》（GB16297-1996）表2中的无组织排放监控浓度限值。</w:t>
            </w:r>
          </w:p>
          <w:p>
            <w:pPr>
              <w:pStyle w:val="32"/>
              <w:ind w:firstLine="480"/>
              <w:rPr>
                <w:color w:val="auto"/>
                <w:highlight w:val="none"/>
              </w:rPr>
            </w:pPr>
            <w:r>
              <w:rPr>
                <w:color w:val="auto"/>
                <w:highlight w:val="none"/>
              </w:rPr>
              <w:t>②</w:t>
            </w:r>
            <w:r>
              <w:rPr>
                <w:rFonts w:hint="default"/>
                <w:color w:val="auto"/>
                <w:highlight w:val="none"/>
                <w:lang w:val="en-US" w:eastAsia="zh-CN"/>
              </w:rPr>
              <w:t>卸矿站外部胶带</w:t>
            </w:r>
            <w:r>
              <w:rPr>
                <w:rFonts w:hint="eastAsia"/>
                <w:color w:val="auto"/>
                <w:highlight w:val="none"/>
                <w:lang w:val="en-US" w:eastAsia="zh-CN"/>
              </w:rPr>
              <w:t>输送</w:t>
            </w:r>
            <w:r>
              <w:rPr>
                <w:color w:val="auto"/>
                <w:highlight w:val="none"/>
              </w:rPr>
              <w:t>粉尘</w:t>
            </w:r>
          </w:p>
          <w:p>
            <w:pPr>
              <w:pStyle w:val="32"/>
              <w:ind w:firstLine="480"/>
              <w:rPr>
                <w:color w:val="auto"/>
                <w:highlight w:val="none"/>
              </w:rPr>
            </w:pPr>
            <w:r>
              <w:rPr>
                <w:rFonts w:hint="default"/>
                <w:color w:val="auto"/>
                <w:highlight w:val="none"/>
                <w:lang w:val="en-US" w:eastAsia="zh-CN"/>
              </w:rPr>
              <w:t>卸矿站外部胶带</w:t>
            </w:r>
            <w:r>
              <w:rPr>
                <w:rFonts w:hint="eastAsia"/>
                <w:color w:val="auto"/>
                <w:highlight w:val="none"/>
                <w:lang w:val="en-US" w:eastAsia="zh-CN"/>
              </w:rPr>
              <w:t>输送</w:t>
            </w:r>
            <w:r>
              <w:rPr>
                <w:rFonts w:hint="eastAsia"/>
                <w:color w:val="auto"/>
                <w:highlight w:val="none"/>
              </w:rPr>
              <w:t>产生的粉尘，主要污染因子为</w:t>
            </w:r>
            <w:r>
              <w:rPr>
                <w:rFonts w:hint="eastAsia"/>
                <w:color w:val="auto"/>
                <w:highlight w:val="none"/>
                <w:lang w:val="en-US" w:eastAsia="zh-CN"/>
              </w:rPr>
              <w:t>PM</w:t>
            </w:r>
            <w:r>
              <w:rPr>
                <w:rFonts w:hint="eastAsia"/>
                <w:color w:val="auto"/>
                <w:highlight w:val="none"/>
                <w:vertAlign w:val="subscript"/>
                <w:lang w:val="en-US" w:eastAsia="zh-CN"/>
              </w:rPr>
              <w:t>10</w:t>
            </w:r>
            <w:r>
              <w:rPr>
                <w:rFonts w:hint="eastAsia"/>
                <w:color w:val="auto"/>
                <w:highlight w:val="none"/>
              </w:rPr>
              <w:t xml:space="preserve">，采用经验公式测算项目起尘量，采用北京环科院与北大环境中心研究的经验公式，即： </w:t>
            </w:r>
          </w:p>
          <w:p>
            <w:pPr>
              <w:pStyle w:val="32"/>
              <w:ind w:firstLine="480"/>
              <w:rPr>
                <w:color w:val="auto"/>
                <w:highlight w:val="none"/>
              </w:rPr>
            </w:pPr>
            <w:r>
              <w:rPr>
                <w:color w:val="auto"/>
                <w:highlight w:val="none"/>
              </w:rPr>
              <w:t>E=k</w:t>
            </w:r>
            <w:r>
              <w:rPr>
                <w:rFonts w:hint="eastAsia"/>
                <w:color w:val="auto"/>
                <w:highlight w:val="none"/>
              </w:rPr>
              <w:t>（</w:t>
            </w:r>
            <w:r>
              <w:rPr>
                <w:color w:val="auto"/>
                <w:highlight w:val="none"/>
              </w:rPr>
              <w:t>0.0008535</w:t>
            </w:r>
            <w:r>
              <w:rPr>
                <w:rFonts w:hint="eastAsia"/>
                <w:color w:val="auto"/>
                <w:highlight w:val="none"/>
              </w:rPr>
              <w:t>）</w:t>
            </w:r>
            <w:r>
              <w:rPr>
                <w:color w:val="auto"/>
                <w:highlight w:val="none"/>
              </w:rPr>
              <w:t>U</w:t>
            </w:r>
            <w:r>
              <w:rPr>
                <w:color w:val="auto"/>
                <w:highlight w:val="none"/>
                <w:vertAlign w:val="superscript"/>
              </w:rPr>
              <w:t>3.22</w:t>
            </w:r>
            <w:r>
              <w:rPr>
                <w:color w:val="auto"/>
                <w:highlight w:val="none"/>
              </w:rPr>
              <w:t>e</w:t>
            </w:r>
            <w:r>
              <w:rPr>
                <w:color w:val="auto"/>
                <w:highlight w:val="none"/>
                <w:vertAlign w:val="superscript"/>
              </w:rPr>
              <w:t>-0.2w</w:t>
            </w:r>
          </w:p>
          <w:p>
            <w:pPr>
              <w:pStyle w:val="32"/>
              <w:ind w:firstLine="480"/>
              <w:rPr>
                <w:color w:val="auto"/>
                <w:highlight w:val="none"/>
              </w:rPr>
            </w:pPr>
            <w:r>
              <w:rPr>
                <w:rFonts w:hint="eastAsia"/>
                <w:color w:val="auto"/>
                <w:highlight w:val="none"/>
              </w:rPr>
              <w:t>其中：</w:t>
            </w:r>
            <w:r>
              <w:rPr>
                <w:color w:val="auto"/>
                <w:highlight w:val="none"/>
              </w:rPr>
              <w:t>E——</w:t>
            </w:r>
            <w:r>
              <w:rPr>
                <w:rFonts w:hint="eastAsia"/>
                <w:color w:val="auto"/>
                <w:highlight w:val="none"/>
              </w:rPr>
              <w:t>起尘量，</w:t>
            </w:r>
            <w:r>
              <w:rPr>
                <w:color w:val="auto"/>
                <w:highlight w:val="none"/>
              </w:rPr>
              <w:t>kg/t</w:t>
            </w:r>
            <w:r>
              <w:rPr>
                <w:rFonts w:hint="eastAsia"/>
                <w:color w:val="auto"/>
                <w:highlight w:val="none"/>
              </w:rPr>
              <w:t>（物料）；</w:t>
            </w:r>
          </w:p>
          <w:p>
            <w:pPr>
              <w:pStyle w:val="32"/>
              <w:ind w:firstLine="480"/>
              <w:rPr>
                <w:color w:val="auto"/>
                <w:highlight w:val="none"/>
              </w:rPr>
            </w:pPr>
            <w:r>
              <w:rPr>
                <w:color w:val="auto"/>
                <w:highlight w:val="none"/>
              </w:rPr>
              <w:t>K——</w:t>
            </w:r>
            <w:r>
              <w:rPr>
                <w:rFonts w:hint="eastAsia"/>
                <w:color w:val="auto"/>
                <w:highlight w:val="none"/>
              </w:rPr>
              <w:t>粒子系数；</w:t>
            </w:r>
          </w:p>
          <w:p>
            <w:pPr>
              <w:pStyle w:val="32"/>
              <w:ind w:firstLine="480"/>
              <w:rPr>
                <w:color w:val="auto"/>
                <w:highlight w:val="none"/>
              </w:rPr>
            </w:pPr>
            <w:r>
              <w:rPr>
                <w:color w:val="auto"/>
                <w:highlight w:val="none"/>
              </w:rPr>
              <w:t>U——</w:t>
            </w:r>
            <w:r>
              <w:rPr>
                <w:rFonts w:hint="eastAsia"/>
                <w:color w:val="auto"/>
                <w:highlight w:val="none"/>
              </w:rPr>
              <w:t>地面风速，</w:t>
            </w:r>
            <w:r>
              <w:rPr>
                <w:color w:val="auto"/>
                <w:highlight w:val="none"/>
              </w:rPr>
              <w:t>m/s</w:t>
            </w:r>
            <w:r>
              <w:rPr>
                <w:rFonts w:hint="eastAsia"/>
                <w:color w:val="auto"/>
                <w:highlight w:val="none"/>
              </w:rPr>
              <w:t>；</w:t>
            </w:r>
          </w:p>
          <w:p>
            <w:pPr>
              <w:pStyle w:val="32"/>
              <w:ind w:firstLine="480"/>
              <w:rPr>
                <w:color w:val="auto"/>
                <w:highlight w:val="none"/>
              </w:rPr>
            </w:pPr>
            <w:r>
              <w:rPr>
                <w:color w:val="auto"/>
                <w:highlight w:val="none"/>
              </w:rPr>
              <w:t>W——</w:t>
            </w:r>
            <w:r>
              <w:rPr>
                <w:rFonts w:hint="eastAsia"/>
                <w:color w:val="auto"/>
                <w:highlight w:val="none"/>
              </w:rPr>
              <w:t>物料含水率，</w:t>
            </w:r>
            <w:r>
              <w:rPr>
                <w:color w:val="auto"/>
                <w:highlight w:val="none"/>
              </w:rPr>
              <w:t>%</w:t>
            </w:r>
            <w:r>
              <w:rPr>
                <w:rFonts w:hint="eastAsia"/>
                <w:color w:val="auto"/>
                <w:highlight w:val="none"/>
              </w:rPr>
              <w:t>。</w:t>
            </w:r>
          </w:p>
          <w:p>
            <w:pPr>
              <w:pStyle w:val="32"/>
              <w:ind w:firstLine="480"/>
              <w:rPr>
                <w:color w:val="auto"/>
                <w:highlight w:val="none"/>
              </w:rPr>
            </w:pPr>
            <w:r>
              <w:rPr>
                <w:rFonts w:hint="eastAsia"/>
                <w:color w:val="auto"/>
                <w:highlight w:val="none"/>
              </w:rPr>
              <w:t>本项目多年平均风速</w:t>
            </w:r>
            <w:r>
              <w:rPr>
                <w:color w:val="auto"/>
                <w:highlight w:val="none"/>
              </w:rPr>
              <w:t>1.4m/s</w:t>
            </w:r>
            <w:r>
              <w:rPr>
                <w:rFonts w:hint="eastAsia"/>
                <w:color w:val="auto"/>
                <w:highlight w:val="none"/>
              </w:rPr>
              <w:t>，物料含水率</w:t>
            </w:r>
            <w:r>
              <w:rPr>
                <w:color w:val="auto"/>
                <w:highlight w:val="none"/>
              </w:rPr>
              <w:t>8%</w:t>
            </w:r>
            <w:r>
              <w:rPr>
                <w:rFonts w:hint="eastAsia"/>
                <w:color w:val="auto"/>
                <w:highlight w:val="none"/>
              </w:rPr>
              <w:t>，粒子系数取</w:t>
            </w:r>
            <w:r>
              <w:rPr>
                <w:color w:val="auto"/>
                <w:highlight w:val="none"/>
              </w:rPr>
              <w:t>1</w:t>
            </w:r>
            <w:r>
              <w:rPr>
                <w:rFonts w:hint="eastAsia"/>
                <w:color w:val="auto"/>
                <w:highlight w:val="none"/>
              </w:rPr>
              <w:t>，则其产生系数为</w:t>
            </w:r>
            <w:r>
              <w:rPr>
                <w:color w:val="auto"/>
                <w:highlight w:val="none"/>
              </w:rPr>
              <w:t>0.002482kg/t</w:t>
            </w:r>
            <w:r>
              <w:rPr>
                <w:rFonts w:hint="eastAsia"/>
                <w:color w:val="auto"/>
                <w:highlight w:val="none"/>
              </w:rPr>
              <w:t>。</w:t>
            </w:r>
            <w:r>
              <w:rPr>
                <w:rFonts w:hint="eastAsia"/>
                <w:color w:val="auto"/>
                <w:highlight w:val="none"/>
                <w:lang w:val="en-US" w:eastAsia="zh-CN"/>
              </w:rPr>
              <w:t>散货</w:t>
            </w:r>
            <w:r>
              <w:rPr>
                <w:rFonts w:hint="eastAsia"/>
                <w:color w:val="auto"/>
                <w:highlight w:val="none"/>
              </w:rPr>
              <w:t>原料转运</w:t>
            </w:r>
            <w:r>
              <w:rPr>
                <w:rFonts w:hint="eastAsia"/>
                <w:color w:val="auto"/>
                <w:highlight w:val="none"/>
                <w:lang w:val="en-US" w:eastAsia="zh-CN"/>
              </w:rPr>
              <w:t>8</w:t>
            </w:r>
            <w:r>
              <w:rPr>
                <w:rFonts w:hint="eastAsia"/>
                <w:color w:val="auto"/>
                <w:highlight w:val="none"/>
              </w:rPr>
              <w:t>0万吨，原料转运过程粉尘产生量为</w:t>
            </w:r>
            <w:r>
              <w:rPr>
                <w:rFonts w:hint="eastAsia"/>
                <w:color w:val="auto"/>
                <w:highlight w:val="none"/>
                <w:lang w:val="en-US" w:eastAsia="zh-CN"/>
              </w:rPr>
              <w:t>1.986</w:t>
            </w:r>
            <w:r>
              <w:rPr>
                <w:color w:val="auto"/>
                <w:highlight w:val="none"/>
              </w:rPr>
              <w:t>t/a</w:t>
            </w:r>
            <w:r>
              <w:rPr>
                <w:rFonts w:hint="eastAsia"/>
                <w:color w:val="auto"/>
                <w:highlight w:val="none"/>
              </w:rPr>
              <w:t>，成品转运约10</w:t>
            </w:r>
            <w:r>
              <w:rPr>
                <w:rFonts w:hint="eastAsia"/>
                <w:color w:val="auto"/>
                <w:highlight w:val="none"/>
                <w:lang w:val="en-US" w:eastAsia="zh-CN"/>
              </w:rPr>
              <w:t>1.978</w:t>
            </w:r>
            <w:r>
              <w:rPr>
                <w:rFonts w:hint="eastAsia"/>
                <w:color w:val="auto"/>
                <w:highlight w:val="none"/>
              </w:rPr>
              <w:t>万吨，成品转运过程粉尘产生量为</w:t>
            </w:r>
            <w:r>
              <w:rPr>
                <w:rFonts w:hint="eastAsia"/>
                <w:color w:val="auto"/>
                <w:highlight w:val="none"/>
                <w:lang w:val="en-US" w:eastAsia="zh-CN"/>
              </w:rPr>
              <w:t>2.526</w:t>
            </w:r>
            <w:r>
              <w:rPr>
                <w:color w:val="auto"/>
                <w:highlight w:val="none"/>
              </w:rPr>
              <w:t>t/a</w:t>
            </w:r>
            <w:r>
              <w:rPr>
                <w:rFonts w:hint="eastAsia"/>
                <w:color w:val="auto"/>
                <w:highlight w:val="none"/>
              </w:rPr>
              <w:t>。本项目</w:t>
            </w:r>
            <w:r>
              <w:rPr>
                <w:rFonts w:hint="eastAsia"/>
                <w:color w:val="auto"/>
                <w:highlight w:val="none"/>
                <w:lang w:val="en-US" w:eastAsia="zh-CN"/>
              </w:rPr>
              <w:t>新增M-9</w:t>
            </w:r>
            <w:r>
              <w:rPr>
                <w:rFonts w:hint="eastAsia"/>
                <w:color w:val="auto"/>
                <w:highlight w:val="none"/>
              </w:rPr>
              <w:t>#转运站，其中</w:t>
            </w:r>
            <w:r>
              <w:rPr>
                <w:rFonts w:hint="eastAsia"/>
                <w:color w:val="auto"/>
                <w:highlight w:val="none"/>
                <w:lang w:val="en-US" w:eastAsia="zh-CN"/>
              </w:rPr>
              <w:t>散货</w:t>
            </w:r>
            <w:r>
              <w:rPr>
                <w:rFonts w:hint="eastAsia"/>
                <w:color w:val="auto"/>
                <w:highlight w:val="none"/>
              </w:rPr>
              <w:t>到港后，原料先通过</w:t>
            </w:r>
            <w:r>
              <w:rPr>
                <w:rFonts w:hint="eastAsia"/>
                <w:color w:val="auto"/>
                <w:highlight w:val="none"/>
                <w:lang w:val="en-US" w:eastAsia="zh-CN"/>
              </w:rPr>
              <w:t>码头</w:t>
            </w:r>
            <w:r>
              <w:rPr>
                <w:rFonts w:hint="eastAsia"/>
                <w:color w:val="auto"/>
                <w:highlight w:val="none"/>
              </w:rPr>
              <w:t>现有皮带</w:t>
            </w:r>
            <w:r>
              <w:rPr>
                <w:rFonts w:hint="eastAsia"/>
                <w:color w:val="auto"/>
                <w:highlight w:val="none"/>
                <w:lang w:val="en-US" w:eastAsia="zh-CN"/>
              </w:rPr>
              <w:t>和转运站（</w:t>
            </w:r>
            <w:r>
              <w:rPr>
                <w:color w:val="auto"/>
                <w:kern w:val="0"/>
                <w:szCs w:val="21"/>
                <w:highlight w:val="none"/>
                <w:lang w:bidi="ar"/>
              </w:rPr>
              <w:t>M-1#</w:t>
            </w:r>
            <w:r>
              <w:rPr>
                <w:rFonts w:hint="eastAsia"/>
                <w:color w:val="auto"/>
                <w:kern w:val="0"/>
                <w:szCs w:val="21"/>
                <w:highlight w:val="none"/>
                <w:lang w:bidi="ar"/>
              </w:rPr>
              <w:t>转运站</w:t>
            </w:r>
            <w:r>
              <w:rPr>
                <w:rFonts w:hint="eastAsia"/>
                <w:color w:val="auto"/>
                <w:kern w:val="0"/>
                <w:szCs w:val="21"/>
                <w:highlight w:val="none"/>
                <w:lang w:eastAsia="zh-CN" w:bidi="ar"/>
              </w:rPr>
              <w:t>、</w:t>
            </w:r>
            <w:r>
              <w:rPr>
                <w:color w:val="auto"/>
                <w:kern w:val="0"/>
                <w:szCs w:val="21"/>
                <w:highlight w:val="none"/>
                <w:lang w:bidi="ar"/>
              </w:rPr>
              <w:t>M-</w:t>
            </w:r>
            <w:r>
              <w:rPr>
                <w:rFonts w:hint="eastAsia"/>
                <w:color w:val="auto"/>
                <w:kern w:val="0"/>
                <w:szCs w:val="21"/>
                <w:highlight w:val="none"/>
                <w:lang w:val="en-US" w:eastAsia="zh-CN" w:bidi="ar"/>
              </w:rPr>
              <w:t>2</w:t>
            </w:r>
            <w:r>
              <w:rPr>
                <w:color w:val="auto"/>
                <w:kern w:val="0"/>
                <w:szCs w:val="21"/>
                <w:highlight w:val="none"/>
                <w:lang w:bidi="ar"/>
              </w:rPr>
              <w:t>#</w:t>
            </w:r>
            <w:r>
              <w:rPr>
                <w:rFonts w:hint="eastAsia"/>
                <w:color w:val="auto"/>
                <w:kern w:val="0"/>
                <w:szCs w:val="21"/>
                <w:highlight w:val="none"/>
                <w:lang w:bidi="ar"/>
              </w:rPr>
              <w:t>转运站</w:t>
            </w:r>
            <w:r>
              <w:rPr>
                <w:rFonts w:hint="eastAsia"/>
                <w:color w:val="auto"/>
                <w:kern w:val="0"/>
                <w:szCs w:val="21"/>
                <w:highlight w:val="none"/>
                <w:lang w:eastAsia="zh-CN" w:bidi="ar"/>
              </w:rPr>
              <w:t>、</w:t>
            </w:r>
            <w:r>
              <w:rPr>
                <w:color w:val="auto"/>
                <w:kern w:val="0"/>
                <w:szCs w:val="21"/>
                <w:highlight w:val="none"/>
                <w:lang w:bidi="ar"/>
              </w:rPr>
              <w:t>M-</w:t>
            </w:r>
            <w:r>
              <w:rPr>
                <w:rFonts w:hint="eastAsia"/>
                <w:color w:val="auto"/>
                <w:kern w:val="0"/>
                <w:szCs w:val="21"/>
                <w:highlight w:val="none"/>
                <w:lang w:val="en-US" w:eastAsia="zh-CN" w:bidi="ar"/>
              </w:rPr>
              <w:t>3</w:t>
            </w:r>
            <w:r>
              <w:rPr>
                <w:color w:val="auto"/>
                <w:kern w:val="0"/>
                <w:szCs w:val="21"/>
                <w:highlight w:val="none"/>
                <w:lang w:bidi="ar"/>
              </w:rPr>
              <w:t>#</w:t>
            </w:r>
            <w:r>
              <w:rPr>
                <w:rFonts w:hint="eastAsia"/>
                <w:color w:val="auto"/>
                <w:kern w:val="0"/>
                <w:szCs w:val="21"/>
                <w:highlight w:val="none"/>
                <w:lang w:bidi="ar"/>
              </w:rPr>
              <w:t>转运站</w:t>
            </w:r>
            <w:r>
              <w:rPr>
                <w:rFonts w:hint="eastAsia"/>
                <w:color w:val="auto"/>
                <w:highlight w:val="none"/>
                <w:lang w:val="en-US" w:eastAsia="zh-CN"/>
              </w:rPr>
              <w:t>）</w:t>
            </w:r>
            <w:r>
              <w:rPr>
                <w:rFonts w:hint="eastAsia"/>
                <w:color w:val="auto"/>
                <w:highlight w:val="none"/>
              </w:rPr>
              <w:t>输送至</w:t>
            </w:r>
            <w:r>
              <w:rPr>
                <w:rFonts w:hint="eastAsia"/>
                <w:color w:val="auto"/>
                <w:highlight w:val="none"/>
                <w:lang w:val="en-US" w:eastAsia="zh-CN"/>
              </w:rPr>
              <w:t>现有</w:t>
            </w:r>
            <w:r>
              <w:rPr>
                <w:rFonts w:hint="eastAsia"/>
                <w:color w:val="auto"/>
                <w:highlight w:val="none"/>
              </w:rPr>
              <w:t>东南铜业</w:t>
            </w:r>
            <w:r>
              <w:rPr>
                <w:rFonts w:hint="eastAsia"/>
                <w:color w:val="auto"/>
                <w:highlight w:val="none"/>
                <w:lang w:val="en-US" w:eastAsia="zh-CN"/>
              </w:rPr>
              <w:t>M-8</w:t>
            </w:r>
            <w:r>
              <w:rPr>
                <w:rFonts w:hint="eastAsia"/>
                <w:color w:val="auto"/>
                <w:highlight w:val="none"/>
              </w:rPr>
              <w:t>#转运站</w:t>
            </w:r>
            <w:r>
              <w:rPr>
                <w:rFonts w:hint="eastAsia"/>
                <w:color w:val="auto"/>
                <w:highlight w:val="none"/>
                <w:lang w:eastAsia="zh-CN"/>
              </w:rPr>
              <w:t>，</w:t>
            </w:r>
            <w:r>
              <w:rPr>
                <w:rFonts w:hint="eastAsia"/>
                <w:color w:val="auto"/>
                <w:highlight w:val="none"/>
                <w:lang w:val="en-US" w:eastAsia="zh-CN"/>
              </w:rPr>
              <w:t>再通过M-9</w:t>
            </w:r>
            <w:r>
              <w:rPr>
                <w:rFonts w:hint="eastAsia"/>
                <w:color w:val="auto"/>
                <w:highlight w:val="none"/>
              </w:rPr>
              <w:t>#转运站，进入</w:t>
            </w:r>
            <w:r>
              <w:rPr>
                <w:rFonts w:hint="eastAsia"/>
                <w:color w:val="auto"/>
                <w:highlight w:val="none"/>
                <w:lang w:val="en-US" w:eastAsia="zh-CN"/>
              </w:rPr>
              <w:t>卸矿站</w:t>
            </w:r>
            <w:r>
              <w:rPr>
                <w:rFonts w:hint="eastAsia"/>
                <w:color w:val="auto"/>
                <w:highlight w:val="none"/>
              </w:rPr>
              <w:t>，混料后的成品再经过</w:t>
            </w:r>
            <w:r>
              <w:rPr>
                <w:rFonts w:hint="eastAsia"/>
                <w:color w:val="auto"/>
                <w:highlight w:val="none"/>
                <w:lang w:val="en-US" w:eastAsia="zh-CN"/>
              </w:rPr>
              <w:t>M-9</w:t>
            </w:r>
            <w:r>
              <w:rPr>
                <w:rFonts w:hint="eastAsia"/>
                <w:color w:val="auto"/>
                <w:highlight w:val="none"/>
              </w:rPr>
              <w:t>#转运站与东南铜业原有输送线衔接，转运站处理风量7</w:t>
            </w:r>
            <w:r>
              <w:rPr>
                <w:color w:val="auto"/>
                <w:highlight w:val="none"/>
              </w:rPr>
              <w:t>000m</w:t>
            </w:r>
            <w:r>
              <w:rPr>
                <w:color w:val="auto"/>
                <w:highlight w:val="none"/>
                <w:vertAlign w:val="superscript"/>
              </w:rPr>
              <w:t>3</w:t>
            </w:r>
            <w:r>
              <w:rPr>
                <w:color w:val="auto"/>
                <w:highlight w:val="none"/>
              </w:rPr>
              <w:t>/h</w:t>
            </w:r>
            <w:r>
              <w:rPr>
                <w:rFonts w:hint="eastAsia"/>
                <w:color w:val="auto"/>
                <w:highlight w:val="none"/>
              </w:rPr>
              <w:t xml:space="preserve">。 </w:t>
            </w:r>
          </w:p>
          <w:p>
            <w:pPr>
              <w:pStyle w:val="32"/>
              <w:ind w:firstLine="480"/>
              <w:rPr>
                <w:color w:val="auto"/>
                <w:highlight w:val="none"/>
              </w:rPr>
            </w:pPr>
            <w:r>
              <w:rPr>
                <w:rFonts w:hint="eastAsia"/>
                <w:color w:val="auto"/>
                <w:highlight w:val="none"/>
              </w:rPr>
              <w:t>根据风量核算，</w:t>
            </w:r>
            <w:r>
              <w:rPr>
                <w:rFonts w:hint="eastAsia"/>
                <w:color w:val="auto"/>
                <w:highlight w:val="none"/>
                <w:lang w:val="en-US" w:eastAsia="zh-CN"/>
              </w:rPr>
              <w:t>M-9</w:t>
            </w:r>
            <w:r>
              <w:rPr>
                <w:rFonts w:hint="eastAsia"/>
                <w:color w:val="auto"/>
                <w:highlight w:val="none"/>
              </w:rPr>
              <w:t>#转运站排气筒产生量详见表</w:t>
            </w:r>
            <w:r>
              <w:rPr>
                <w:color w:val="auto"/>
                <w:highlight w:val="none"/>
              </w:rPr>
              <w:t>4.2</w:t>
            </w:r>
            <w:r>
              <w:rPr>
                <w:rFonts w:hint="eastAsia"/>
                <w:color w:val="auto"/>
                <w:highlight w:val="none"/>
              </w:rPr>
              <w:t>.4</w:t>
            </w:r>
            <w:r>
              <w:rPr>
                <w:rFonts w:hint="eastAsia"/>
                <w:color w:val="auto"/>
                <w:highlight w:val="none"/>
                <w:lang w:eastAsia="zh-CN"/>
              </w:rPr>
              <w:t>，</w:t>
            </w:r>
            <w:r>
              <w:rPr>
                <w:rFonts w:hint="eastAsia"/>
                <w:color w:val="auto"/>
                <w:highlight w:val="none"/>
                <w:lang w:val="en-US" w:eastAsia="zh-CN"/>
              </w:rPr>
              <w:t>其中原料转运过程粉尘产生量1.986t/a，成品转运过程粉尘产生量2.526t/a</w:t>
            </w:r>
            <w:r>
              <w:rPr>
                <w:rFonts w:hint="eastAsia"/>
                <w:color w:val="auto"/>
                <w:highlight w:val="none"/>
              </w:rPr>
              <w:t xml:space="preserve">。 </w:t>
            </w:r>
          </w:p>
          <w:p>
            <w:pPr>
              <w:pStyle w:val="32"/>
              <w:ind w:firstLine="480"/>
              <w:rPr>
                <w:color w:val="auto"/>
                <w:highlight w:val="none"/>
              </w:rPr>
            </w:pPr>
            <w:r>
              <w:rPr>
                <w:color w:val="auto"/>
                <w:highlight w:val="none"/>
              </w:rPr>
              <w:t>③</w:t>
            </w:r>
            <w:r>
              <w:rPr>
                <w:rFonts w:hint="eastAsia"/>
                <w:color w:val="auto"/>
                <w:highlight w:val="none"/>
              </w:rPr>
              <w:t>治理方案</w:t>
            </w:r>
          </w:p>
          <w:p>
            <w:pPr>
              <w:pStyle w:val="32"/>
              <w:ind w:firstLine="480"/>
              <w:rPr>
                <w:color w:val="auto"/>
                <w:highlight w:val="none"/>
              </w:rPr>
            </w:pPr>
            <w:r>
              <w:rPr>
                <w:rFonts w:hint="eastAsia"/>
                <w:color w:val="auto"/>
                <w:highlight w:val="none"/>
              </w:rPr>
              <w:t>根据该项目设计方案，</w:t>
            </w:r>
            <w:r>
              <w:rPr>
                <w:rFonts w:hint="eastAsia"/>
                <w:color w:val="auto"/>
                <w:highlight w:val="none"/>
                <w:lang w:val="en-US" w:eastAsia="zh-CN"/>
              </w:rPr>
              <w:t>新建M-9</w:t>
            </w:r>
            <w:r>
              <w:rPr>
                <w:rFonts w:hint="eastAsia"/>
                <w:color w:val="auto"/>
                <w:highlight w:val="none"/>
              </w:rPr>
              <w:t>#转运站</w:t>
            </w:r>
            <w:r>
              <w:rPr>
                <w:rFonts w:hint="eastAsia"/>
                <w:color w:val="auto"/>
                <w:highlight w:val="none"/>
                <w:lang w:val="en-US" w:eastAsia="zh-CN"/>
              </w:rPr>
              <w:t>配套塑烧板除尘器</w:t>
            </w:r>
            <w:r>
              <w:rPr>
                <w:rFonts w:hint="eastAsia"/>
                <w:color w:val="auto"/>
                <w:highlight w:val="none"/>
              </w:rPr>
              <w:t>，排气筒设置于转运站屋顶，高度为</w:t>
            </w:r>
            <w:r>
              <w:rPr>
                <w:color w:val="auto"/>
                <w:highlight w:val="none"/>
              </w:rPr>
              <w:t>15m</w:t>
            </w:r>
            <w:r>
              <w:rPr>
                <w:rFonts w:hint="eastAsia"/>
                <w:color w:val="auto"/>
                <w:highlight w:val="none"/>
              </w:rPr>
              <w:t>。整个封闭式管道运输设置封闭罩抽风，形成负压，含尘气体收集后通过除尘器处理后通过</w:t>
            </w:r>
            <w:r>
              <w:rPr>
                <w:color w:val="auto"/>
                <w:highlight w:val="none"/>
              </w:rPr>
              <w:t>15m</w:t>
            </w:r>
            <w:r>
              <w:rPr>
                <w:rFonts w:hint="eastAsia"/>
                <w:color w:val="auto"/>
                <w:highlight w:val="none"/>
              </w:rPr>
              <w:t xml:space="preserve">排气筒排放。 </w:t>
            </w:r>
          </w:p>
          <w:p>
            <w:pPr>
              <w:pStyle w:val="32"/>
              <w:ind w:firstLine="480"/>
              <w:rPr>
                <w:color w:val="auto"/>
                <w:highlight w:val="none"/>
              </w:rPr>
            </w:pPr>
            <w:r>
              <w:rPr>
                <w:rFonts w:hint="eastAsia"/>
                <w:color w:val="auto"/>
                <w:highlight w:val="none"/>
              </w:rPr>
              <w:fldChar w:fldCharType="begin"/>
            </w:r>
            <w:r>
              <w:rPr>
                <w:rFonts w:hint="eastAsia"/>
                <w:color w:val="auto"/>
                <w:highlight w:val="none"/>
              </w:rPr>
              <w:instrText xml:space="preserve"> = 4 \* GB3 \* MERGEFORMAT </w:instrText>
            </w:r>
            <w:r>
              <w:rPr>
                <w:rFonts w:hint="eastAsia"/>
                <w:color w:val="auto"/>
                <w:highlight w:val="none"/>
              </w:rPr>
              <w:fldChar w:fldCharType="separate"/>
            </w:r>
            <w:r>
              <w:rPr>
                <w:color w:val="auto"/>
                <w:highlight w:val="none"/>
              </w:rPr>
              <w:t>④</w:t>
            </w:r>
            <w:r>
              <w:rPr>
                <w:rFonts w:hint="eastAsia"/>
                <w:color w:val="auto"/>
                <w:highlight w:val="none"/>
              </w:rPr>
              <w:fldChar w:fldCharType="end"/>
            </w:r>
            <w:r>
              <w:rPr>
                <w:rFonts w:hint="eastAsia"/>
                <w:color w:val="auto"/>
                <w:highlight w:val="none"/>
              </w:rPr>
              <w:t xml:space="preserve">治理前后粉尘排放量 </w:t>
            </w:r>
          </w:p>
          <w:p>
            <w:pPr>
              <w:pStyle w:val="32"/>
              <w:ind w:firstLine="480"/>
              <w:rPr>
                <w:color w:val="auto"/>
                <w:highlight w:val="none"/>
              </w:rPr>
            </w:pPr>
            <w:r>
              <w:rPr>
                <w:rFonts w:hint="eastAsia"/>
                <w:color w:val="auto"/>
                <w:highlight w:val="none"/>
                <w:lang w:val="en-US" w:eastAsia="zh-CN"/>
              </w:rPr>
              <w:t>M-9</w:t>
            </w:r>
            <w:r>
              <w:rPr>
                <w:rFonts w:hint="eastAsia"/>
                <w:color w:val="auto"/>
                <w:highlight w:val="none"/>
              </w:rPr>
              <w:t>#转运站</w:t>
            </w:r>
            <w:r>
              <w:rPr>
                <w:rFonts w:hint="eastAsia"/>
                <w:color w:val="auto"/>
                <w:highlight w:val="none"/>
                <w:lang w:val="en-US" w:eastAsia="zh-CN"/>
              </w:rPr>
              <w:t>配套塑烧板除尘器，根据设计方案，除尘效率取99.5%，</w:t>
            </w:r>
            <w:r>
              <w:rPr>
                <w:rFonts w:hint="eastAsia"/>
                <w:color w:val="auto"/>
                <w:highlight w:val="none"/>
              </w:rPr>
              <w:t>故</w:t>
            </w:r>
            <w:r>
              <w:rPr>
                <w:color w:val="auto"/>
                <w:highlight w:val="none"/>
              </w:rPr>
              <w:t>铜精矿皮带运输</w:t>
            </w:r>
            <w:r>
              <w:rPr>
                <w:rFonts w:hint="eastAsia"/>
                <w:color w:val="auto"/>
                <w:highlight w:val="none"/>
              </w:rPr>
              <w:t>污染物核算详见表</w:t>
            </w:r>
            <w:r>
              <w:rPr>
                <w:color w:val="auto"/>
                <w:highlight w:val="none"/>
              </w:rPr>
              <w:t>4.2</w:t>
            </w:r>
            <w:r>
              <w:rPr>
                <w:rFonts w:hint="eastAsia"/>
                <w:color w:val="auto"/>
                <w:highlight w:val="none"/>
              </w:rPr>
              <w:t>.4</w:t>
            </w:r>
            <w:r>
              <w:rPr>
                <w:rFonts w:hint="eastAsia"/>
                <w:color w:val="auto"/>
                <w:highlight w:val="none"/>
                <w:lang w:eastAsia="zh-CN"/>
              </w:rPr>
              <w:t>，</w:t>
            </w:r>
            <w:r>
              <w:rPr>
                <w:rFonts w:hint="eastAsia"/>
                <w:color w:val="auto"/>
                <w:highlight w:val="none"/>
                <w:lang w:val="en-US" w:eastAsia="zh-CN"/>
              </w:rPr>
              <w:t>其中原料转运过程粉尘排放量0.265t/a，成品转运过程粉尘排放量0.013t/a</w:t>
            </w:r>
            <w:r>
              <w:rPr>
                <w:rFonts w:hint="eastAsia"/>
                <w:color w:val="auto"/>
                <w:highlight w:val="none"/>
              </w:rPr>
              <w:t>。</w:t>
            </w:r>
          </w:p>
          <w:p>
            <w:pPr>
              <w:pStyle w:val="32"/>
              <w:ind w:firstLine="480"/>
              <w:rPr>
                <w:rFonts w:hint="default" w:eastAsia="宋体"/>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2</w:t>
            </w:r>
            <w:r>
              <w:rPr>
                <w:rFonts w:hint="eastAsia"/>
                <w:color w:val="auto"/>
                <w:szCs w:val="21"/>
                <w:highlight w:val="none"/>
              </w:rPr>
              <w:t>）</w:t>
            </w:r>
            <w:r>
              <w:rPr>
                <w:rFonts w:hint="eastAsia"/>
                <w:color w:val="auto"/>
                <w:szCs w:val="21"/>
                <w:highlight w:val="none"/>
                <w:lang w:val="en-US" w:eastAsia="zh-CN"/>
              </w:rPr>
              <w:t>卸矿站粉尘</w:t>
            </w:r>
          </w:p>
          <w:p>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default"/>
                <w:color w:val="auto"/>
                <w:sz w:val="24"/>
                <w:highlight w:val="none"/>
                <w:lang w:val="en-US" w:eastAsia="zh-CN"/>
              </w:rPr>
              <w:t>1#胶带输送机</w:t>
            </w:r>
            <w:r>
              <w:rPr>
                <w:rFonts w:hint="eastAsia"/>
                <w:color w:val="auto"/>
                <w:sz w:val="24"/>
                <w:highlight w:val="none"/>
                <w:lang w:val="en-US" w:eastAsia="zh-CN"/>
              </w:rPr>
              <w:t>受料和卸料粉尘</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散货原矿由室外进料管状胶带机送至卸矿站内的</w:t>
            </w:r>
            <w:r>
              <w:rPr>
                <w:rFonts w:hint="default"/>
                <w:color w:val="auto"/>
                <w:sz w:val="24"/>
                <w:highlight w:val="none"/>
                <w:lang w:val="en-US" w:eastAsia="zh-CN"/>
              </w:rPr>
              <w:t>1#胶带输送机S-</w:t>
            </w:r>
            <w:r>
              <w:rPr>
                <w:rFonts w:hint="eastAsia"/>
                <w:color w:val="auto"/>
                <w:sz w:val="24"/>
                <w:highlight w:val="none"/>
                <w:lang w:val="en-US" w:eastAsia="zh-CN"/>
              </w:rPr>
              <w:t>4上，该输送机连通的1#桥式横向布料机</w:t>
            </w:r>
            <w:r>
              <w:rPr>
                <w:rFonts w:hint="default"/>
                <w:color w:val="auto"/>
                <w:sz w:val="24"/>
                <w:highlight w:val="none"/>
                <w:lang w:val="en-US" w:eastAsia="zh-CN"/>
              </w:rPr>
              <w:t>S-</w:t>
            </w:r>
            <w:r>
              <w:rPr>
                <w:rFonts w:hint="eastAsia"/>
                <w:color w:val="auto"/>
                <w:sz w:val="24"/>
                <w:highlight w:val="none"/>
                <w:lang w:val="en-US" w:eastAsia="zh-CN"/>
              </w:rPr>
              <w:t>1可将原矿均匀布料在仓库西北侧的地面堆存区域内。</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散货</w:t>
            </w:r>
            <w:r>
              <w:rPr>
                <w:rFonts w:hint="default"/>
                <w:color w:val="auto"/>
                <w:sz w:val="24"/>
                <w:highlight w:val="none"/>
                <w:lang w:val="en-US" w:eastAsia="zh-CN"/>
              </w:rPr>
              <w:t>输送铜精矿规模约</w:t>
            </w:r>
            <w:r>
              <w:rPr>
                <w:rFonts w:hint="eastAsia"/>
                <w:color w:val="auto"/>
                <w:sz w:val="24"/>
                <w:highlight w:val="none"/>
                <w:lang w:val="en-US" w:eastAsia="zh-CN"/>
              </w:rPr>
              <w:t>799998.01</w:t>
            </w:r>
            <w:r>
              <w:rPr>
                <w:rFonts w:hint="default"/>
                <w:color w:val="auto"/>
                <w:sz w:val="24"/>
                <w:highlight w:val="none"/>
                <w:lang w:val="en-US" w:eastAsia="zh-CN"/>
              </w:rPr>
              <w:t>t/a，</w:t>
            </w:r>
            <w:r>
              <w:rPr>
                <w:rFonts w:hint="eastAsia"/>
                <w:color w:val="auto"/>
                <w:sz w:val="24"/>
                <w:highlight w:val="none"/>
                <w:lang w:val="en-US" w:eastAsia="zh-CN"/>
              </w:rPr>
              <w:t>室外进料管状胶带机</w:t>
            </w:r>
            <w:r>
              <w:rPr>
                <w:rFonts w:hint="default"/>
                <w:color w:val="auto"/>
                <w:sz w:val="24"/>
                <w:highlight w:val="none"/>
                <w:lang w:val="en-US" w:eastAsia="zh-CN"/>
              </w:rPr>
              <w:t>卸料产生的粉尘量</w:t>
            </w:r>
            <w:r>
              <w:rPr>
                <w:rFonts w:hint="eastAsia"/>
                <w:color w:val="auto"/>
                <w:sz w:val="24"/>
                <w:highlight w:val="none"/>
                <w:lang w:val="en-US" w:eastAsia="zh-CN"/>
              </w:rPr>
              <w:t>约8.0</w:t>
            </w:r>
            <w:r>
              <w:rPr>
                <w:rFonts w:hint="default"/>
                <w:color w:val="auto"/>
                <w:sz w:val="24"/>
                <w:highlight w:val="none"/>
                <w:lang w:val="en-US" w:eastAsia="zh-CN"/>
              </w:rPr>
              <w:t>t/a</w:t>
            </w:r>
            <w:r>
              <w:rPr>
                <w:rFonts w:hint="eastAsia"/>
                <w:color w:val="auto"/>
                <w:sz w:val="24"/>
                <w:highlight w:val="none"/>
                <w:lang w:val="en-US" w:eastAsia="zh-CN"/>
              </w:rPr>
              <w:t>，1#胶带输送机S-4</w:t>
            </w:r>
            <w:r>
              <w:rPr>
                <w:rFonts w:hint="default"/>
                <w:color w:val="auto"/>
                <w:sz w:val="24"/>
                <w:highlight w:val="none"/>
                <w:lang w:val="en-US" w:eastAsia="zh-CN"/>
              </w:rPr>
              <w:t>卸料产生的粉尘量</w:t>
            </w:r>
            <w:r>
              <w:rPr>
                <w:rFonts w:hint="eastAsia"/>
                <w:color w:val="auto"/>
                <w:sz w:val="24"/>
                <w:highlight w:val="none"/>
                <w:lang w:val="en-US" w:eastAsia="zh-CN"/>
              </w:rPr>
              <w:t>约8.0</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60"/>
              <w:rPr>
                <w:rFonts w:ascii="Times New Roman" w:hAnsi="Times New Roman"/>
                <w:color w:val="auto"/>
                <w:sz w:val="24"/>
                <w:szCs w:val="24"/>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1.6</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pacing w:val="-5"/>
                <w:highlight w:val="none"/>
              </w:rPr>
              <w:t>根据《工业源固体物料堆存颗粒物产排污核算系数手册》，洒水抑尘措施对粉尘的控制效率为74%，</w:t>
            </w:r>
            <w:r>
              <w:rPr>
                <w:rFonts w:hint="eastAsia"/>
                <w:color w:val="auto"/>
                <w:spacing w:val="-5"/>
                <w:highlight w:val="none"/>
                <w:lang w:eastAsia="zh-CN"/>
              </w:rPr>
              <w:t>封闭</w:t>
            </w:r>
            <w:r>
              <w:rPr>
                <w:rFonts w:hint="eastAsia"/>
                <w:color w:val="auto"/>
                <w:spacing w:val="-5"/>
                <w:highlight w:val="none"/>
              </w:rPr>
              <w:t>式堆场降尘率为99%，</w:t>
            </w:r>
            <w:r>
              <w:rPr>
                <w:rFonts w:hint="eastAsia"/>
                <w:color w:val="auto"/>
                <w:highlight w:val="none"/>
                <w:lang w:val="en-US" w:eastAsia="zh-CN"/>
              </w:rPr>
              <w:t>合计</w:t>
            </w:r>
            <w:r>
              <w:rPr>
                <w:rFonts w:hint="eastAsia"/>
                <w:color w:val="auto"/>
                <w:spacing w:val="-5"/>
                <w:highlight w:val="none"/>
              </w:rPr>
              <w:t>99</w:t>
            </w:r>
            <w:r>
              <w:rPr>
                <w:rFonts w:hint="eastAsia"/>
                <w:color w:val="auto"/>
                <w:spacing w:val="-5"/>
                <w:highlight w:val="none"/>
                <w:lang w:val="en-US" w:eastAsia="zh-CN"/>
              </w:rPr>
              <w:t>.74</w:t>
            </w:r>
            <w:r>
              <w:rPr>
                <w:rFonts w:hint="eastAsia"/>
                <w:color w:val="auto"/>
                <w:spacing w:val="-5"/>
                <w:highlight w:val="none"/>
              </w:rPr>
              <w:t>%</w:t>
            </w:r>
            <w:r>
              <w:rPr>
                <w:color w:val="auto"/>
                <w:spacing w:val="-5"/>
                <w:highlight w:val="none"/>
              </w:rPr>
              <w:t>，则</w:t>
            </w:r>
            <w:r>
              <w:rPr>
                <w:rFonts w:hint="default"/>
                <w:color w:val="auto"/>
                <w:sz w:val="24"/>
                <w:highlight w:val="none"/>
                <w:lang w:val="en-US" w:eastAsia="zh-CN"/>
              </w:rPr>
              <w:t>1#胶带输送机</w:t>
            </w:r>
            <w:r>
              <w:rPr>
                <w:rFonts w:hint="eastAsia"/>
                <w:color w:val="auto"/>
                <w:sz w:val="24"/>
                <w:highlight w:val="none"/>
                <w:lang w:val="en-US" w:eastAsia="zh-CN"/>
              </w:rPr>
              <w:t>受料和卸料过程</w:t>
            </w:r>
            <w:r>
              <w:rPr>
                <w:color w:val="auto"/>
                <w:spacing w:val="-5"/>
                <w:highlight w:val="none"/>
              </w:rPr>
              <w:t>无组织排放量为0.</w:t>
            </w:r>
            <w:r>
              <w:rPr>
                <w:rFonts w:hint="eastAsia"/>
                <w:color w:val="auto"/>
                <w:spacing w:val="-5"/>
                <w:highlight w:val="none"/>
                <w:lang w:val="en-US" w:eastAsia="zh-CN"/>
              </w:rPr>
              <w:t>004</w:t>
            </w:r>
            <w:r>
              <w:rPr>
                <w:color w:val="auto"/>
                <w:spacing w:val="-5"/>
                <w:highlight w:val="none"/>
              </w:rPr>
              <w:t>t/a</w:t>
            </w:r>
            <w:r>
              <w:rPr>
                <w:rFonts w:ascii="Times New Roman" w:hAnsi="Times New Roman"/>
                <w:color w:val="auto"/>
                <w:sz w:val="24"/>
                <w:szCs w:val="24"/>
                <w:highlight w:val="none"/>
              </w:rPr>
              <w:t>。</w:t>
            </w:r>
          </w:p>
          <w:p>
            <w:pPr>
              <w:pStyle w:val="32"/>
              <w:ind w:firstLine="480"/>
              <w:rPr>
                <w:color w:val="auto"/>
                <w:highlight w:val="none"/>
              </w:rPr>
            </w:pPr>
            <w:r>
              <w:rPr>
                <w:rFonts w:hint="default" w:ascii="Times New Roman" w:hAnsi="Times New Roman" w:eastAsia="宋体" w:cs="Times New Roman"/>
                <w:color w:val="auto"/>
                <w:highlight w:val="none"/>
              </w:rPr>
              <w:t>②</w:t>
            </w:r>
            <w:r>
              <w:rPr>
                <w:rFonts w:hint="eastAsia" w:ascii="Times New Roman" w:hAnsi="Times New Roman" w:eastAsia="宋体" w:cs="Times New Roman"/>
                <w:color w:val="auto"/>
                <w:highlight w:val="none"/>
              </w:rPr>
              <w:t>原</w:t>
            </w:r>
            <w:r>
              <w:rPr>
                <w:rFonts w:hint="eastAsia"/>
                <w:color w:val="auto"/>
                <w:highlight w:val="none"/>
              </w:rPr>
              <w:t>料</w:t>
            </w:r>
            <w:r>
              <w:rPr>
                <w:rFonts w:hint="eastAsia"/>
                <w:color w:val="auto"/>
                <w:highlight w:val="none"/>
                <w:lang w:val="en-US" w:eastAsia="zh-CN"/>
              </w:rPr>
              <w:t>堆存</w:t>
            </w:r>
            <w:r>
              <w:rPr>
                <w:rFonts w:hint="eastAsia"/>
                <w:color w:val="auto"/>
                <w:highlight w:val="none"/>
              </w:rPr>
              <w:t>扬尘</w:t>
            </w:r>
          </w:p>
          <w:p>
            <w:pPr>
              <w:spacing w:line="360" w:lineRule="auto"/>
              <w:ind w:firstLine="480" w:firstLineChars="200"/>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铜精矿</w:t>
            </w:r>
            <w:r>
              <w:rPr>
                <w:rFonts w:ascii="Times New Roman" w:hAnsi="Times New Roman"/>
                <w:color w:val="auto"/>
                <w:sz w:val="24"/>
                <w:szCs w:val="24"/>
                <w:highlight w:val="none"/>
              </w:rPr>
              <w:t>堆存期间，在自然风力作用下</w:t>
            </w:r>
            <w:r>
              <w:rPr>
                <w:rFonts w:hint="eastAsia"/>
                <w:color w:val="auto"/>
                <w:sz w:val="24"/>
                <w:szCs w:val="24"/>
                <w:highlight w:val="none"/>
                <w:lang w:val="en-US" w:eastAsia="zh-CN"/>
              </w:rPr>
              <w:t>可能</w:t>
            </w:r>
            <w:r>
              <w:rPr>
                <w:rFonts w:ascii="Times New Roman" w:hAnsi="Times New Roman"/>
                <w:color w:val="auto"/>
                <w:sz w:val="24"/>
                <w:szCs w:val="24"/>
                <w:highlight w:val="none"/>
              </w:rPr>
              <w:t>产生扬尘。</w:t>
            </w:r>
            <w:r>
              <w:rPr>
                <w:rFonts w:hint="eastAsia" w:ascii="Times New Roman" w:hAnsi="Times New Roman"/>
                <w:color w:val="auto"/>
                <w:sz w:val="24"/>
                <w:szCs w:val="24"/>
                <w:highlight w:val="none"/>
                <w:lang w:val="en-US" w:eastAsia="zh-CN"/>
              </w:rPr>
              <w:t>原料</w:t>
            </w:r>
            <w:r>
              <w:rPr>
                <w:rFonts w:hint="eastAsia" w:ascii="Times New Roman" w:hAnsi="Times New Roman"/>
                <w:color w:val="auto"/>
                <w:sz w:val="24"/>
                <w:szCs w:val="24"/>
                <w:highlight w:val="none"/>
              </w:rPr>
              <w:t>堆场</w:t>
            </w:r>
            <w:r>
              <w:rPr>
                <w:rFonts w:hint="eastAsia" w:ascii="Times New Roman" w:hAnsi="Times New Roman"/>
                <w:color w:val="auto"/>
                <w:sz w:val="24"/>
                <w:szCs w:val="24"/>
                <w:highlight w:val="none"/>
                <w:lang w:val="en-US" w:eastAsia="zh-CN"/>
              </w:rPr>
              <w:t>位于</w:t>
            </w:r>
            <w:r>
              <w:rPr>
                <w:rFonts w:hint="eastAsia"/>
                <w:color w:val="auto"/>
                <w:sz w:val="24"/>
                <w:szCs w:val="24"/>
                <w:highlight w:val="none"/>
                <w:lang w:val="en-US" w:eastAsia="zh-CN"/>
              </w:rPr>
              <w:t>封闭卸矿站</w:t>
            </w:r>
            <w:r>
              <w:rPr>
                <w:rFonts w:hint="eastAsia" w:ascii="Times New Roman" w:hAnsi="Times New Roman"/>
                <w:color w:val="auto"/>
                <w:sz w:val="24"/>
                <w:szCs w:val="24"/>
                <w:highlight w:val="none"/>
                <w:lang w:val="en-US" w:eastAsia="zh-CN"/>
              </w:rPr>
              <w:t>内，设置</w:t>
            </w:r>
            <w:r>
              <w:rPr>
                <w:rFonts w:hint="eastAsia" w:ascii="Times New Roman" w:hAnsi="Times New Roman"/>
                <w:color w:val="auto"/>
                <w:sz w:val="24"/>
                <w:szCs w:val="24"/>
                <w:highlight w:val="none"/>
              </w:rPr>
              <w:t>智能高压喷雾抑尘装置</w:t>
            </w:r>
            <w:r>
              <w:rPr>
                <w:rFonts w:ascii="Times New Roman" w:hAnsi="Times New Roman"/>
                <w:color w:val="auto"/>
                <w:sz w:val="24"/>
                <w:szCs w:val="24"/>
                <w:highlight w:val="none"/>
              </w:rPr>
              <w:t>进行</w:t>
            </w:r>
            <w:r>
              <w:rPr>
                <w:rFonts w:hint="eastAsia" w:ascii="Times New Roman" w:hAnsi="Times New Roman"/>
                <w:color w:val="auto"/>
                <w:sz w:val="24"/>
                <w:szCs w:val="24"/>
                <w:highlight w:val="none"/>
                <w:lang w:val="en-US" w:eastAsia="zh-CN"/>
              </w:rPr>
              <w:t>喷雾抑尘</w:t>
            </w:r>
            <w:r>
              <w:rPr>
                <w:rFonts w:ascii="Times New Roman" w:hAnsi="Times New Roman"/>
                <w:color w:val="auto"/>
                <w:sz w:val="24"/>
                <w:szCs w:val="24"/>
                <w:highlight w:val="none"/>
              </w:rPr>
              <w:t>。</w:t>
            </w:r>
            <w:r>
              <w:rPr>
                <w:rFonts w:hint="eastAsia"/>
                <w:color w:val="auto"/>
                <w:sz w:val="24"/>
                <w:szCs w:val="24"/>
                <w:highlight w:val="none"/>
                <w:lang w:val="en-US" w:eastAsia="zh-CN"/>
              </w:rPr>
              <w:t>封闭仓库内风速较低，</w:t>
            </w:r>
            <w:r>
              <w:rPr>
                <w:rFonts w:ascii="Times New Roman" w:hAnsi="Times New Roman"/>
                <w:color w:val="auto"/>
                <w:sz w:val="24"/>
                <w:szCs w:val="24"/>
                <w:highlight w:val="none"/>
              </w:rPr>
              <w:t>堆场</w:t>
            </w:r>
            <w:r>
              <w:rPr>
                <w:rFonts w:hint="eastAsia"/>
                <w:color w:val="auto"/>
                <w:sz w:val="24"/>
                <w:szCs w:val="24"/>
                <w:highlight w:val="none"/>
                <w:lang w:val="en-US" w:eastAsia="zh-CN"/>
              </w:rPr>
              <w:t>不会产生</w:t>
            </w:r>
            <w:r>
              <w:rPr>
                <w:rFonts w:ascii="Times New Roman" w:hAnsi="Times New Roman"/>
                <w:color w:val="auto"/>
                <w:sz w:val="24"/>
                <w:szCs w:val="24"/>
                <w:highlight w:val="none"/>
              </w:rPr>
              <w:t>静态起尘</w:t>
            </w:r>
            <w:r>
              <w:rPr>
                <w:rFonts w:hint="eastAsia"/>
                <w:color w:val="auto"/>
                <w:sz w:val="24"/>
                <w:szCs w:val="24"/>
                <w:highlight w:val="none"/>
                <w:lang w:eastAsia="zh-CN"/>
              </w:rPr>
              <w:t>，</w:t>
            </w:r>
            <w:r>
              <w:rPr>
                <w:rFonts w:hint="eastAsia"/>
                <w:color w:val="auto"/>
                <w:sz w:val="24"/>
                <w:szCs w:val="24"/>
                <w:highlight w:val="none"/>
                <w:lang w:val="en-US" w:eastAsia="zh-CN"/>
              </w:rPr>
              <w:t>本评价主要考虑原料装卸过程中的粉尘。</w:t>
            </w:r>
          </w:p>
          <w:p>
            <w:pPr>
              <w:spacing w:line="360" w:lineRule="auto"/>
              <w:ind w:firstLine="480" w:firstLineChars="200"/>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原料</w:t>
            </w:r>
            <w:r>
              <w:rPr>
                <w:rFonts w:hint="eastAsia"/>
                <w:color w:val="auto"/>
                <w:sz w:val="24"/>
                <w:szCs w:val="24"/>
                <w:highlight w:val="none"/>
                <w:lang w:val="en-US" w:eastAsia="zh-CN"/>
              </w:rPr>
              <w:t>堆存过程，汽车</w:t>
            </w:r>
            <w:r>
              <w:rPr>
                <w:rFonts w:hint="eastAsia" w:ascii="Times New Roman" w:hAnsi="Times New Roman"/>
                <w:color w:val="auto"/>
                <w:sz w:val="24"/>
                <w:szCs w:val="24"/>
                <w:highlight w:val="none"/>
                <w:lang w:val="en-US" w:eastAsia="zh-CN"/>
              </w:rPr>
              <w:t>装卸和取料会产生粉尘。根据</w:t>
            </w:r>
            <w:r>
              <w:rPr>
                <w:rFonts w:hint="eastAsia" w:ascii="Times New Roman" w:hAnsi="Times New Roman"/>
                <w:color w:val="auto"/>
                <w:sz w:val="24"/>
                <w:szCs w:val="24"/>
                <w:highlight w:val="none"/>
              </w:rPr>
              <w:t>《水运工程建设项目环境影响评价指南》（JTS/T</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105-2021）</w:t>
            </w:r>
            <w:r>
              <w:rPr>
                <w:rFonts w:ascii="Times New Roman" w:hAnsi="Times New Roman"/>
                <w:color w:val="auto"/>
                <w:sz w:val="24"/>
                <w:szCs w:val="24"/>
                <w:highlight w:val="none"/>
              </w:rPr>
              <w:t>，散货装卸过程产生的粉尘与装卸时风速、散货含水率、落料高度差及装卸效率密切相关。</w:t>
            </w:r>
            <w:r>
              <w:rPr>
                <w:rFonts w:hint="eastAsia" w:ascii="Times New Roman" w:hAnsi="Times New Roman"/>
                <w:color w:val="auto"/>
                <w:sz w:val="24"/>
                <w:szCs w:val="24"/>
                <w:highlight w:val="none"/>
              </w:rPr>
              <w:t>本项目主要粉尘来自</w:t>
            </w:r>
            <w:r>
              <w:rPr>
                <w:rFonts w:hint="eastAsia" w:ascii="Times New Roman" w:hAnsi="Times New Roman"/>
                <w:color w:val="auto"/>
                <w:sz w:val="24"/>
                <w:szCs w:val="24"/>
                <w:highlight w:val="none"/>
                <w:lang w:val="en-US" w:eastAsia="zh-CN"/>
              </w:rPr>
              <w:t>铜精矿</w:t>
            </w:r>
            <w:r>
              <w:rPr>
                <w:rFonts w:hint="eastAsia" w:ascii="Times New Roman" w:hAnsi="Times New Roman"/>
                <w:color w:val="auto"/>
                <w:sz w:val="24"/>
                <w:szCs w:val="24"/>
                <w:highlight w:val="none"/>
              </w:rPr>
              <w:t>的装卸，</w:t>
            </w:r>
            <w:r>
              <w:rPr>
                <w:rFonts w:hint="eastAsia" w:ascii="Times New Roman" w:hAnsi="Times New Roman"/>
                <w:color w:val="auto"/>
                <w:sz w:val="24"/>
                <w:szCs w:val="24"/>
                <w:highlight w:val="none"/>
                <w:lang w:val="en-US" w:eastAsia="zh-CN"/>
              </w:rPr>
              <w:t>原料</w:t>
            </w:r>
            <w:r>
              <w:rPr>
                <w:rFonts w:ascii="Times New Roman" w:hAnsi="Times New Roman"/>
                <w:color w:val="auto"/>
                <w:sz w:val="24"/>
                <w:szCs w:val="24"/>
                <w:highlight w:val="none"/>
              </w:rPr>
              <w:t>堆场堆取作业的粉尘污染源强计算公式如下：</w:t>
            </w:r>
          </w:p>
          <w:p>
            <w:pPr>
              <w:spacing w:line="360" w:lineRule="auto"/>
              <w:ind w:firstLine="480" w:firstLineChars="200"/>
              <w:jc w:val="center"/>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2143760" cy="307340"/>
                  <wp:effectExtent l="0" t="0" r="8890" b="17145"/>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143760" cy="307340"/>
                          </a:xfrm>
                          <a:prstGeom prst="rect">
                            <a:avLst/>
                          </a:prstGeom>
                          <a:noFill/>
                          <a:ln>
                            <a:noFill/>
                          </a:ln>
                        </pic:spPr>
                      </pic:pic>
                    </a:graphicData>
                  </a:graphic>
                </wp:inline>
              </w:drawing>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式中，</w:t>
            </w:r>
            <w:r>
              <w:rPr>
                <w:rFonts w:ascii="Times New Roman" w:hAnsi="Times New Roman"/>
                <w:color w:val="auto"/>
                <w:sz w:val="24"/>
                <w:szCs w:val="24"/>
                <w:highlight w:val="none"/>
              </w:rPr>
              <w:drawing>
                <wp:inline distT="0" distB="0" distL="0" distR="0">
                  <wp:extent cx="187325" cy="217170"/>
                  <wp:effectExtent l="0" t="0" r="3175" b="1270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7325" cy="217170"/>
                          </a:xfrm>
                          <a:prstGeom prst="rect">
                            <a:avLst/>
                          </a:prstGeom>
                          <a:noFill/>
                          <a:ln>
                            <a:noFill/>
                          </a:ln>
                        </pic:spPr>
                      </pic:pic>
                    </a:graphicData>
                  </a:graphic>
                </wp:inline>
              </w:drawing>
            </w:r>
            <w:r>
              <w:rPr>
                <w:rFonts w:ascii="Times New Roman" w:hAnsi="Times New Roman"/>
                <w:color w:val="auto"/>
                <w:sz w:val="24"/>
                <w:szCs w:val="24"/>
                <w:highlight w:val="none"/>
              </w:rPr>
              <w:t>——作业起尘量，kg；</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72085" cy="179705"/>
                  <wp:effectExtent l="0" t="0" r="18415" b="1270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2085" cy="179705"/>
                          </a:xfrm>
                          <a:prstGeom prst="rect">
                            <a:avLst/>
                          </a:prstGeom>
                          <a:noFill/>
                          <a:ln>
                            <a:noFill/>
                          </a:ln>
                        </pic:spPr>
                      </pic:pic>
                    </a:graphicData>
                  </a:graphic>
                </wp:inline>
              </w:drawing>
            </w:r>
            <w:r>
              <w:rPr>
                <w:rFonts w:ascii="Times New Roman" w:hAnsi="Times New Roman"/>
                <w:color w:val="auto"/>
                <w:sz w:val="24"/>
                <w:szCs w:val="24"/>
                <w:highlight w:val="none"/>
              </w:rPr>
              <w:t>——风速，m/s</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在原料库内装卸，风速按0.1m/s计</w:t>
            </w:r>
            <w:r>
              <w:rPr>
                <w:rFonts w:ascii="Times New Roman" w:hAnsi="Times New Roman"/>
                <w:color w:val="auto"/>
                <w:sz w:val="24"/>
                <w:szCs w:val="24"/>
                <w:highlight w:val="none"/>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42875" cy="182880"/>
                  <wp:effectExtent l="0" t="0" r="9525" b="6985"/>
                  <wp:docPr id="111"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2875" cy="182880"/>
                          </a:xfrm>
                          <a:prstGeom prst="rect">
                            <a:avLst/>
                          </a:prstGeom>
                          <a:noFill/>
                          <a:ln>
                            <a:noFill/>
                          </a:ln>
                        </pic:spPr>
                      </pic:pic>
                    </a:graphicData>
                  </a:graphic>
                </wp:inline>
              </w:drawing>
            </w:r>
            <w:r>
              <w:rPr>
                <w:rFonts w:ascii="Times New Roman" w:hAnsi="Times New Roman"/>
                <w:color w:val="auto"/>
                <w:sz w:val="24"/>
                <w:szCs w:val="24"/>
                <w:highlight w:val="none"/>
              </w:rPr>
              <w:t>——作业量，t，</w:t>
            </w:r>
            <w:r>
              <w:rPr>
                <w:rFonts w:hint="eastAsia" w:ascii="Times New Roman" w:hAnsi="Times New Roman"/>
                <w:color w:val="auto"/>
                <w:sz w:val="24"/>
                <w:szCs w:val="24"/>
                <w:highlight w:val="none"/>
                <w:lang w:val="en-US" w:eastAsia="zh-CN"/>
              </w:rPr>
              <w:t>标矿</w:t>
            </w:r>
            <w:r>
              <w:rPr>
                <w:rFonts w:hint="eastAsia"/>
                <w:color w:val="auto"/>
                <w:sz w:val="24"/>
                <w:szCs w:val="24"/>
                <w:highlight w:val="none"/>
                <w:lang w:val="en-US" w:eastAsia="zh-CN"/>
              </w:rPr>
              <w:t>67.339</w:t>
            </w:r>
            <w:r>
              <w:rPr>
                <w:rFonts w:ascii="Times New Roman" w:hAnsi="Times New Roman"/>
                <w:color w:val="auto"/>
                <w:sz w:val="24"/>
                <w:szCs w:val="24"/>
                <w:highlight w:val="none"/>
              </w:rPr>
              <w:t>t/h</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非标矿</w:t>
            </w:r>
            <w:r>
              <w:rPr>
                <w:rFonts w:hint="eastAsia"/>
                <w:color w:val="auto"/>
                <w:sz w:val="24"/>
                <w:szCs w:val="24"/>
                <w:highlight w:val="none"/>
                <w:lang w:val="en-US" w:eastAsia="zh-CN"/>
              </w:rPr>
              <w:t>33.67</w:t>
            </w:r>
            <w:r>
              <w:rPr>
                <w:rFonts w:hint="eastAsia" w:ascii="Times New Roman" w:hAnsi="Times New Roman"/>
                <w:color w:val="auto"/>
                <w:sz w:val="24"/>
                <w:szCs w:val="24"/>
                <w:highlight w:val="none"/>
              </w:rPr>
              <w:t>t</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h</w:t>
            </w:r>
            <w:r>
              <w:rPr>
                <w:rFonts w:ascii="Times New Roman" w:hAnsi="Times New Roman"/>
                <w:color w:val="auto"/>
                <w:sz w:val="24"/>
                <w:szCs w:val="24"/>
                <w:highlight w:val="none"/>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79705" cy="172085"/>
                  <wp:effectExtent l="0" t="0" r="10795" b="1841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79705" cy="172085"/>
                          </a:xfrm>
                          <a:prstGeom prst="rect">
                            <a:avLst/>
                          </a:prstGeom>
                          <a:noFill/>
                          <a:ln>
                            <a:noFill/>
                          </a:ln>
                        </pic:spPr>
                      </pic:pic>
                    </a:graphicData>
                  </a:graphic>
                </wp:inline>
              </w:drawing>
            </w:r>
            <w:r>
              <w:rPr>
                <w:rFonts w:ascii="Times New Roman" w:hAnsi="Times New Roman"/>
                <w:color w:val="auto"/>
                <w:sz w:val="24"/>
                <w:szCs w:val="24"/>
                <w:highlight w:val="none"/>
              </w:rPr>
              <w:t>——作业落差，m，本次作业落差取0.5m；</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49860" cy="134620"/>
                  <wp:effectExtent l="0" t="0" r="2540" b="1841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9860" cy="134620"/>
                          </a:xfrm>
                          <a:prstGeom prst="rect">
                            <a:avLst/>
                          </a:prstGeom>
                          <a:noFill/>
                          <a:ln>
                            <a:noFill/>
                          </a:ln>
                        </pic:spPr>
                      </pic:pic>
                    </a:graphicData>
                  </a:graphic>
                </wp:inline>
              </w:drawing>
            </w:r>
            <w:r>
              <w:rPr>
                <w:rFonts w:ascii="Times New Roman" w:hAnsi="Times New Roman"/>
                <w:color w:val="auto"/>
                <w:sz w:val="24"/>
                <w:szCs w:val="24"/>
                <w:highlight w:val="none"/>
              </w:rPr>
              <w:t>——含水率，%，平均含水率均取8</w:t>
            </w:r>
            <w:r>
              <w:rPr>
                <w:rFonts w:hint="eastAsia" w:ascii="Times New Roman" w:hAnsi="Times New Roman"/>
                <w:color w:val="auto"/>
                <w:sz w:val="24"/>
                <w:szCs w:val="24"/>
                <w:highlight w:val="none"/>
                <w:lang w:val="en-US" w:eastAsia="zh-CN"/>
              </w:rPr>
              <w:t>.5</w:t>
            </w:r>
            <w:r>
              <w:rPr>
                <w:rFonts w:ascii="Times New Roman" w:hAnsi="Times New Roman"/>
                <w:color w:val="auto"/>
                <w:sz w:val="24"/>
                <w:szCs w:val="24"/>
                <w:highlight w:val="none"/>
              </w:rPr>
              <w:t>%计算；</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49860" cy="82550"/>
                  <wp:effectExtent l="0" t="0" r="0" b="14605"/>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9860" cy="82550"/>
                          </a:xfrm>
                          <a:prstGeom prst="rect">
                            <a:avLst/>
                          </a:prstGeom>
                          <a:noFill/>
                          <a:ln>
                            <a:noFill/>
                          </a:ln>
                        </pic:spPr>
                      </pic:pic>
                    </a:graphicData>
                  </a:graphic>
                </wp:inline>
              </w:drawing>
            </w:r>
            <w:r>
              <w:rPr>
                <w:rFonts w:ascii="Times New Roman" w:hAnsi="Times New Roman"/>
                <w:color w:val="auto"/>
                <w:sz w:val="24"/>
                <w:szCs w:val="24"/>
                <w:highlight w:val="none"/>
              </w:rPr>
              <w:t>——散货类型调节系数，</w:t>
            </w:r>
            <w:r>
              <w:rPr>
                <w:rFonts w:hint="eastAsia" w:ascii="Times New Roman" w:hAnsi="Times New Roman"/>
                <w:color w:val="auto"/>
                <w:sz w:val="24"/>
                <w:szCs w:val="24"/>
                <w:highlight w:val="none"/>
                <w:lang w:val="en-US" w:eastAsia="zh-CN"/>
              </w:rPr>
              <w:t>铜精</w:t>
            </w:r>
            <w:r>
              <w:rPr>
                <w:rFonts w:ascii="Times New Roman" w:hAnsi="Times New Roman"/>
                <w:color w:val="auto"/>
                <w:sz w:val="24"/>
                <w:szCs w:val="24"/>
                <w:highlight w:val="none"/>
              </w:rPr>
              <w:t>矿取1.6；</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49860" cy="202565"/>
                  <wp:effectExtent l="0" t="0" r="2540" b="571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9860" cy="202565"/>
                          </a:xfrm>
                          <a:prstGeom prst="rect">
                            <a:avLst/>
                          </a:prstGeom>
                          <a:noFill/>
                          <a:ln>
                            <a:noFill/>
                          </a:ln>
                        </pic:spPr>
                      </pic:pic>
                    </a:graphicData>
                  </a:graphic>
                </wp:inline>
              </w:drawing>
            </w:r>
            <w:r>
              <w:rPr>
                <w:rFonts w:ascii="Times New Roman" w:hAnsi="Times New Roman"/>
                <w:color w:val="auto"/>
                <w:sz w:val="24"/>
                <w:szCs w:val="24"/>
                <w:highlight w:val="none"/>
              </w:rPr>
              <w:t>——作业方式系数，装卸时，β=1，取料时，β=2；</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87325" cy="217170"/>
                  <wp:effectExtent l="0" t="0" r="3175" b="1333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7325" cy="217170"/>
                          </a:xfrm>
                          <a:prstGeom prst="rect">
                            <a:avLst/>
                          </a:prstGeom>
                          <a:noFill/>
                          <a:ln>
                            <a:noFill/>
                          </a:ln>
                        </pic:spPr>
                      </pic:pic>
                    </a:graphicData>
                  </a:graphic>
                </wp:inline>
              </w:drawing>
            </w:r>
            <w:r>
              <w:rPr>
                <w:rFonts w:ascii="Times New Roman" w:hAnsi="Times New Roman"/>
                <w:color w:val="auto"/>
                <w:sz w:val="24"/>
                <w:szCs w:val="24"/>
                <w:highlight w:val="none"/>
              </w:rPr>
              <w:t>——水分作用系数，与散货性质有关，取0.40~0.45，本评价取0.425；</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drawing>
                <wp:inline distT="0" distB="0" distL="0" distR="0">
                  <wp:extent cx="187325" cy="217170"/>
                  <wp:effectExtent l="0" t="0" r="3175" b="139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7325" cy="217170"/>
                          </a:xfrm>
                          <a:prstGeom prst="rect">
                            <a:avLst/>
                          </a:prstGeom>
                          <a:noFill/>
                          <a:ln>
                            <a:noFill/>
                          </a:ln>
                        </pic:spPr>
                      </pic:pic>
                    </a:graphicData>
                  </a:graphic>
                </wp:inline>
              </w:drawing>
            </w:r>
            <w:r>
              <w:rPr>
                <w:rFonts w:ascii="Times New Roman" w:hAnsi="Times New Roman"/>
                <w:color w:val="auto"/>
                <w:sz w:val="24"/>
                <w:szCs w:val="24"/>
                <w:highlight w:val="none"/>
              </w:rPr>
              <w:t>——水分作用效果的临界值，即含水率高于此值时水分作用效果增加不明显，与散货性质有关，</w:t>
            </w:r>
            <w:r>
              <w:rPr>
                <w:rFonts w:hint="eastAsia" w:ascii="Times New Roman" w:hAnsi="Times New Roman"/>
                <w:color w:val="auto"/>
                <w:sz w:val="24"/>
                <w:szCs w:val="24"/>
                <w:highlight w:val="none"/>
                <w:lang w:val="en-US" w:eastAsia="zh-CN"/>
              </w:rPr>
              <w:t>铜精矿</w:t>
            </w:r>
            <w:r>
              <w:rPr>
                <w:rFonts w:ascii="Times New Roman" w:hAnsi="Times New Roman"/>
                <w:color w:val="auto"/>
                <w:sz w:val="24"/>
                <w:szCs w:val="24"/>
                <w:highlight w:val="none"/>
              </w:rPr>
              <w:t>（粉矿）取5%；</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v</w:t>
            </w:r>
            <w:r>
              <w:rPr>
                <w:rFonts w:ascii="Times New Roman" w:hAnsi="Times New Roman"/>
                <w:color w:val="auto"/>
                <w:sz w:val="24"/>
                <w:szCs w:val="24"/>
                <w:highlight w:val="none"/>
                <w:vertAlign w:val="subscript"/>
              </w:rPr>
              <w:t>2</w:t>
            </w:r>
            <w:r>
              <w:rPr>
                <w:rFonts w:ascii="Times New Roman" w:hAnsi="Times New Roman"/>
                <w:color w:val="auto"/>
                <w:sz w:val="24"/>
                <w:szCs w:val="24"/>
                <w:highlight w:val="none"/>
              </w:rPr>
              <w:t>——作业起尘量达到最大起尘量50%时的风速，一般散货取16m/s。</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本项目采取措施后抑尘效果：</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a.</w:t>
            </w:r>
            <w:r>
              <w:rPr>
                <w:rFonts w:hint="eastAsia" w:ascii="Times New Roman" w:hAnsi="Times New Roman"/>
                <w:color w:val="auto"/>
                <w:sz w:val="24"/>
                <w:szCs w:val="24"/>
                <w:highlight w:val="none"/>
                <w:lang w:val="en-US" w:eastAsia="zh-CN"/>
              </w:rPr>
              <w:t>在</w:t>
            </w:r>
            <w:r>
              <w:rPr>
                <w:rFonts w:hint="eastAsia"/>
                <w:color w:val="auto"/>
                <w:sz w:val="24"/>
                <w:szCs w:val="24"/>
                <w:highlight w:val="none"/>
                <w:lang w:val="en-US" w:eastAsia="zh-CN"/>
              </w:rPr>
              <w:t>封闭</w:t>
            </w:r>
            <w:r>
              <w:rPr>
                <w:rFonts w:hint="eastAsia" w:ascii="Times New Roman" w:hAnsi="Times New Roman"/>
                <w:color w:val="auto"/>
                <w:sz w:val="24"/>
                <w:szCs w:val="24"/>
                <w:highlight w:val="none"/>
                <w:lang w:val="en-US" w:eastAsia="zh-CN"/>
              </w:rPr>
              <w:t>仓库内进行</w:t>
            </w:r>
            <w:r>
              <w:rPr>
                <w:rFonts w:ascii="Times New Roman" w:hAnsi="Times New Roman"/>
                <w:color w:val="auto"/>
                <w:sz w:val="24"/>
                <w:szCs w:val="24"/>
                <w:highlight w:val="none"/>
              </w:rPr>
              <w:t>装卸</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同时设置</w:t>
            </w:r>
            <w:r>
              <w:rPr>
                <w:rFonts w:ascii="Times New Roman" w:hAnsi="Times New Roman"/>
                <w:color w:val="auto"/>
                <w:sz w:val="24"/>
                <w:szCs w:val="24"/>
                <w:highlight w:val="none"/>
              </w:rPr>
              <w:t>智能高压喷雾抑尘装置进行喷湿处理</w:t>
            </w:r>
            <w:r>
              <w:rPr>
                <w:rFonts w:hint="eastAsia"/>
                <w:color w:val="auto"/>
                <w:sz w:val="24"/>
                <w:szCs w:val="24"/>
                <w:highlight w:val="none"/>
                <w:lang w:eastAsia="zh-CN"/>
              </w:rPr>
              <w:t>，根据《工业源固体物料堆存颗粒物产排污核算系数手册》，洒水抑尘措施对粉尘的控制效率为74%，封闭式堆场降尘率为99%</w:t>
            </w:r>
            <w:r>
              <w:rPr>
                <w:rFonts w:ascii="Times New Roman" w:hAnsi="Times New Roman"/>
                <w:color w:val="auto"/>
                <w:sz w:val="24"/>
                <w:szCs w:val="24"/>
                <w:highlight w:val="none"/>
              </w:rPr>
              <w:t>。采取上述措施后，</w:t>
            </w:r>
            <w:r>
              <w:rPr>
                <w:rFonts w:hint="eastAsia" w:ascii="Times New Roman" w:hAnsi="Times New Roman"/>
                <w:color w:val="auto"/>
                <w:sz w:val="24"/>
                <w:szCs w:val="24"/>
                <w:highlight w:val="none"/>
                <w:lang w:val="en-US" w:eastAsia="zh-CN"/>
              </w:rPr>
              <w:t>库内</w:t>
            </w:r>
            <w:r>
              <w:rPr>
                <w:rFonts w:ascii="Times New Roman" w:hAnsi="Times New Roman"/>
                <w:color w:val="auto"/>
                <w:sz w:val="24"/>
                <w:szCs w:val="24"/>
                <w:highlight w:val="none"/>
              </w:rPr>
              <w:t>装卸抑尘效果按照</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color w:val="auto"/>
                <w:sz w:val="24"/>
                <w:szCs w:val="24"/>
                <w:highlight w:val="none"/>
              </w:rPr>
              <w:t>计算。</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b.</w:t>
            </w:r>
            <w:r>
              <w:rPr>
                <w:rFonts w:hint="eastAsia" w:ascii="Times New Roman" w:hAnsi="Times New Roman"/>
                <w:color w:val="auto"/>
                <w:sz w:val="24"/>
                <w:szCs w:val="24"/>
                <w:highlight w:val="none"/>
                <w:lang w:val="en-US" w:eastAsia="zh-CN"/>
              </w:rPr>
              <w:t>堆场位于</w:t>
            </w:r>
            <w:r>
              <w:rPr>
                <w:rFonts w:hint="eastAsia"/>
                <w:color w:val="auto"/>
                <w:sz w:val="24"/>
                <w:szCs w:val="24"/>
                <w:highlight w:val="none"/>
                <w:lang w:val="en-US" w:eastAsia="zh-CN"/>
              </w:rPr>
              <w:t>封闭</w:t>
            </w:r>
            <w:r>
              <w:rPr>
                <w:rFonts w:hint="eastAsia" w:ascii="Times New Roman" w:hAnsi="Times New Roman"/>
                <w:color w:val="auto"/>
                <w:sz w:val="24"/>
                <w:szCs w:val="24"/>
                <w:highlight w:val="none"/>
                <w:lang w:val="en-US" w:eastAsia="zh-CN"/>
              </w:rPr>
              <w:t>仓库内，同时设置</w:t>
            </w:r>
            <w:r>
              <w:rPr>
                <w:rFonts w:ascii="Times New Roman" w:hAnsi="Times New Roman"/>
                <w:color w:val="auto"/>
                <w:sz w:val="24"/>
                <w:szCs w:val="24"/>
                <w:highlight w:val="none"/>
              </w:rPr>
              <w:t>智能高压喷雾抑尘装置进行喷湿处理，</w:t>
            </w:r>
            <w:r>
              <w:rPr>
                <w:rFonts w:hint="eastAsia"/>
                <w:color w:val="auto"/>
                <w:sz w:val="24"/>
                <w:szCs w:val="24"/>
                <w:highlight w:val="none"/>
                <w:lang w:eastAsia="zh-CN"/>
              </w:rPr>
              <w:t>洒水抑尘措施对粉尘的控制效率为74%，封闭式堆场降尘率为99%</w:t>
            </w:r>
            <w:r>
              <w:rPr>
                <w:rFonts w:hint="eastAsia"/>
                <w:color w:val="auto"/>
                <w:sz w:val="24"/>
                <w:szCs w:val="24"/>
                <w:highlight w:val="none"/>
                <w:lang w:val="en-US" w:eastAsia="zh-CN"/>
              </w:rPr>
              <w:t>，</w:t>
            </w:r>
            <w:r>
              <w:rPr>
                <w:rFonts w:ascii="Times New Roman" w:hAnsi="Times New Roman"/>
                <w:color w:val="auto"/>
                <w:sz w:val="24"/>
                <w:szCs w:val="24"/>
                <w:highlight w:val="none"/>
              </w:rPr>
              <w:t>堆场抑尘效果按照</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color w:val="auto"/>
                <w:sz w:val="24"/>
                <w:szCs w:val="24"/>
                <w:highlight w:val="none"/>
              </w:rPr>
              <w:t>计算。</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c.本次计算遵循保守估计的原则，</w:t>
            </w:r>
            <w:r>
              <w:rPr>
                <w:rFonts w:hint="eastAsia" w:ascii="Times New Roman" w:hAnsi="Times New Roman"/>
                <w:color w:val="auto"/>
                <w:sz w:val="24"/>
                <w:szCs w:val="24"/>
                <w:highlight w:val="none"/>
                <w:lang w:val="en-US" w:eastAsia="zh-CN"/>
              </w:rPr>
              <w:t>铜</w:t>
            </w:r>
            <w:r>
              <w:rPr>
                <w:rFonts w:ascii="Times New Roman" w:hAnsi="Times New Roman"/>
                <w:color w:val="auto"/>
                <w:sz w:val="24"/>
                <w:szCs w:val="24"/>
                <w:highlight w:val="none"/>
              </w:rPr>
              <w:t>矿粉的细颗粒（&lt;100μm）污染源强以占</w:t>
            </w:r>
            <w:r>
              <w:rPr>
                <w:rFonts w:hint="eastAsia" w:ascii="Times New Roman" w:hAnsi="Times New Roman"/>
                <w:color w:val="auto"/>
                <w:sz w:val="24"/>
                <w:szCs w:val="24"/>
                <w:highlight w:val="none"/>
                <w:lang w:val="en-US" w:eastAsia="zh-CN"/>
              </w:rPr>
              <w:t>铜</w:t>
            </w:r>
            <w:r>
              <w:rPr>
                <w:rFonts w:ascii="Times New Roman" w:hAnsi="Times New Roman"/>
                <w:color w:val="auto"/>
                <w:sz w:val="24"/>
                <w:szCs w:val="24"/>
                <w:highlight w:val="none"/>
              </w:rPr>
              <w:t>矿粉堆的20.7%计，</w:t>
            </w:r>
            <w:r>
              <w:rPr>
                <w:rFonts w:hint="eastAsia" w:ascii="Times New Roman" w:hAnsi="Times New Roman"/>
                <w:color w:val="auto"/>
                <w:sz w:val="24"/>
                <w:szCs w:val="24"/>
                <w:highlight w:val="none"/>
                <w:lang w:val="en-US" w:eastAsia="zh-CN"/>
              </w:rPr>
              <w:t>铜</w:t>
            </w:r>
            <w:r>
              <w:rPr>
                <w:rFonts w:ascii="Times New Roman" w:hAnsi="Times New Roman"/>
                <w:color w:val="auto"/>
                <w:sz w:val="24"/>
                <w:szCs w:val="24"/>
                <w:highlight w:val="none"/>
              </w:rPr>
              <w:t>矿粉的细颗粒（&lt;10μm）污染源强以占</w:t>
            </w:r>
            <w:r>
              <w:rPr>
                <w:rFonts w:hint="eastAsia" w:ascii="Times New Roman" w:hAnsi="Times New Roman"/>
                <w:color w:val="auto"/>
                <w:sz w:val="24"/>
                <w:szCs w:val="24"/>
                <w:highlight w:val="none"/>
                <w:lang w:val="en-US" w:eastAsia="zh-CN"/>
              </w:rPr>
              <w:t>铜</w:t>
            </w:r>
            <w:r>
              <w:rPr>
                <w:rFonts w:ascii="Times New Roman" w:hAnsi="Times New Roman"/>
                <w:color w:val="auto"/>
                <w:sz w:val="24"/>
                <w:szCs w:val="24"/>
                <w:highlight w:val="none"/>
              </w:rPr>
              <w:t>矿粉堆的9.0%计。</w:t>
            </w:r>
          </w:p>
          <w:p>
            <w:pPr>
              <w:spacing w:line="360" w:lineRule="auto"/>
              <w:ind w:firstLine="480" w:firstLineChars="200"/>
              <w:rPr>
                <w:rFonts w:hint="eastAsia" w:eastAsia="宋体"/>
                <w:color w:val="auto"/>
                <w:spacing w:val="-5"/>
                <w:highlight w:val="none"/>
                <w:u w:val="none" w:color="auto"/>
                <w:lang w:eastAsia="zh-CN"/>
              </w:rPr>
            </w:pPr>
            <w:r>
              <w:rPr>
                <w:rFonts w:hint="eastAsia" w:ascii="Times New Roman" w:hAnsi="Times New Roman"/>
                <w:color w:val="auto"/>
                <w:sz w:val="24"/>
                <w:szCs w:val="24"/>
                <w:highlight w:val="none"/>
                <w:lang w:val="en-US" w:eastAsia="zh-CN"/>
              </w:rPr>
              <w:t>根据上述公式计算，</w:t>
            </w:r>
            <w:r>
              <w:rPr>
                <w:rFonts w:hint="eastAsia"/>
                <w:color w:val="auto"/>
                <w:sz w:val="24"/>
                <w:szCs w:val="24"/>
                <w:highlight w:val="none"/>
                <w:lang w:val="en-US" w:eastAsia="zh-CN"/>
              </w:rPr>
              <w:t>卸矿站原料</w:t>
            </w:r>
            <w:r>
              <w:rPr>
                <w:rFonts w:hint="eastAsia" w:ascii="Times New Roman" w:hAnsi="Times New Roman"/>
                <w:color w:val="auto"/>
                <w:sz w:val="24"/>
                <w:szCs w:val="24"/>
                <w:highlight w:val="none"/>
                <w:lang w:val="en-US" w:eastAsia="zh-CN"/>
              </w:rPr>
              <w:t>堆场</w:t>
            </w:r>
            <w:r>
              <w:rPr>
                <w:rFonts w:hint="eastAsia"/>
                <w:color w:val="auto"/>
                <w:sz w:val="24"/>
                <w:szCs w:val="24"/>
                <w:highlight w:val="none"/>
                <w:lang w:val="en-US" w:eastAsia="zh-CN"/>
              </w:rPr>
              <w:t>堆存、</w:t>
            </w:r>
            <w:r>
              <w:rPr>
                <w:rFonts w:hint="eastAsia" w:ascii="Times New Roman" w:hAnsi="Times New Roman"/>
                <w:color w:val="auto"/>
                <w:sz w:val="24"/>
                <w:szCs w:val="24"/>
                <w:highlight w:val="none"/>
                <w:lang w:val="en-US" w:eastAsia="zh-CN"/>
              </w:rPr>
              <w:t>装卸过程粉尘产生量</w:t>
            </w:r>
            <w:r>
              <w:rPr>
                <w:rFonts w:hint="eastAsia"/>
                <w:color w:val="auto"/>
                <w:sz w:val="24"/>
                <w:szCs w:val="24"/>
                <w:highlight w:val="none"/>
                <w:lang w:val="en-US" w:eastAsia="zh-CN"/>
              </w:rPr>
              <w:t>和排放量详见下表</w:t>
            </w:r>
            <w:r>
              <w:rPr>
                <w:rFonts w:hint="eastAsia"/>
                <w:color w:val="auto"/>
                <w:spacing w:val="-5"/>
                <w:highlight w:val="none"/>
                <w:u w:val="none" w:color="auto"/>
                <w:lang w:eastAsia="zh-CN"/>
              </w:rPr>
              <w:t>：</w:t>
            </w:r>
          </w:p>
          <w:p>
            <w:pPr>
              <w:pStyle w:val="33"/>
              <w:outlineLvl w:val="4"/>
              <w:rPr>
                <w:rFonts w:hint="eastAsia" w:eastAsia="宋体" w:cs="Times New Roman"/>
                <w:color w:val="auto"/>
                <w:highlight w:val="none"/>
                <w:lang w:val="en-US" w:eastAsia="zh-CN"/>
              </w:rPr>
            </w:pPr>
            <w:r>
              <w:rPr>
                <w:rFonts w:hint="eastAsia" w:eastAsia="宋体" w:cs="Times New Roman"/>
                <w:color w:val="auto"/>
                <w:highlight w:val="none"/>
                <w:lang w:val="en-US" w:eastAsia="zh-CN"/>
              </w:rPr>
              <w:t xml:space="preserve">表4.2.5  </w:t>
            </w:r>
            <w:r>
              <w:rPr>
                <w:rFonts w:hint="eastAsia"/>
                <w:color w:val="auto"/>
                <w:sz w:val="24"/>
                <w:szCs w:val="24"/>
                <w:highlight w:val="none"/>
                <w:lang w:val="en-US" w:eastAsia="zh-CN"/>
              </w:rPr>
              <w:t>卸矿站</w:t>
            </w:r>
            <w:r>
              <w:rPr>
                <w:rFonts w:hint="eastAsia" w:eastAsia="宋体" w:cs="Times New Roman"/>
                <w:color w:val="auto"/>
                <w:highlight w:val="none"/>
                <w:lang w:val="en-US" w:eastAsia="zh-CN"/>
              </w:rPr>
              <w:t>原料堆场内装卸过程粉尘产排情况一览表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974"/>
              <w:gridCol w:w="1111"/>
              <w:gridCol w:w="1126"/>
              <w:gridCol w:w="2272"/>
              <w:gridCol w:w="843"/>
              <w:gridCol w:w="957"/>
              <w:gridCol w:w="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污染源</w:t>
                  </w:r>
                </w:p>
              </w:tc>
              <w:tc>
                <w:tcPr>
                  <w:tcW w:w="531"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污染物名称</w:t>
                  </w:r>
                </w:p>
              </w:tc>
              <w:tc>
                <w:tcPr>
                  <w:tcW w:w="1220"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产生情况</w:t>
                  </w:r>
                </w:p>
              </w:tc>
              <w:tc>
                <w:tcPr>
                  <w:tcW w:w="1239"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982"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排放情况</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vMerge w:val="continue"/>
                  <w:vAlign w:val="center"/>
                </w:tcPr>
                <w:p>
                  <w:pPr>
                    <w:pStyle w:val="39"/>
                    <w:spacing w:line="300" w:lineRule="exact"/>
                    <w:rPr>
                      <w:rFonts w:ascii="Times New Roman" w:hAnsi="Times New Roman" w:eastAsia="宋体" w:cs="Times New Roman"/>
                      <w:color w:val="auto"/>
                      <w:highlight w:val="none"/>
                    </w:rPr>
                  </w:pPr>
                </w:p>
              </w:tc>
              <w:tc>
                <w:tcPr>
                  <w:tcW w:w="531" w:type="pct"/>
                  <w:vMerge w:val="continue"/>
                  <w:vAlign w:val="center"/>
                </w:tcPr>
                <w:p>
                  <w:pPr>
                    <w:pStyle w:val="39"/>
                    <w:spacing w:line="300" w:lineRule="exact"/>
                    <w:rPr>
                      <w:rFonts w:ascii="Times New Roman" w:hAnsi="Times New Roman" w:eastAsia="宋体" w:cs="Times New Roman"/>
                      <w:color w:val="auto"/>
                      <w:highlight w:val="none"/>
                    </w:rPr>
                  </w:pPr>
                </w:p>
              </w:tc>
              <w:tc>
                <w:tcPr>
                  <w:tcW w:w="606"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614"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1239" w:type="pct"/>
                  <w:vMerge w:val="continue"/>
                  <w:vAlign w:val="center"/>
                </w:tcPr>
                <w:p>
                  <w:pPr>
                    <w:pStyle w:val="39"/>
                    <w:spacing w:line="300" w:lineRule="exact"/>
                    <w:rPr>
                      <w:rFonts w:ascii="Times New Roman" w:hAnsi="Times New Roman" w:eastAsia="宋体" w:cs="Times New Roman"/>
                      <w:color w:val="auto"/>
                      <w:highlight w:val="none"/>
                    </w:rPr>
                  </w:pPr>
                </w:p>
              </w:tc>
              <w:tc>
                <w:tcPr>
                  <w:tcW w:w="460"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522"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40" w:type="pct"/>
                  <w:vMerge w:val="restar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卸矿站</w:t>
                  </w:r>
                  <w:r>
                    <w:rPr>
                      <w:rFonts w:ascii="Times New Roman" w:hAnsi="Times New Roman" w:eastAsia="宋体" w:cs="Times New Roman"/>
                      <w:color w:val="auto"/>
                      <w:highlight w:val="none"/>
                    </w:rPr>
                    <w:t>原料</w:t>
                  </w:r>
                  <w:r>
                    <w:rPr>
                      <w:rFonts w:hint="eastAsia" w:eastAsia="宋体" w:cs="Times New Roman"/>
                      <w:color w:val="auto"/>
                      <w:highlight w:val="none"/>
                      <w:lang w:val="en-US" w:eastAsia="zh-CN"/>
                    </w:rPr>
                    <w:t>装卸</w:t>
                  </w:r>
                </w:p>
              </w:tc>
              <w:tc>
                <w:tcPr>
                  <w:tcW w:w="531" w:type="pc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TSP</w:t>
                  </w:r>
                </w:p>
              </w:tc>
              <w:tc>
                <w:tcPr>
                  <w:tcW w:w="606" w:type="pct"/>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7.221 </w:t>
                  </w:r>
                </w:p>
              </w:tc>
              <w:tc>
                <w:tcPr>
                  <w:tcW w:w="614" w:type="pct"/>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0.912 </w:t>
                  </w:r>
                </w:p>
              </w:tc>
              <w:tc>
                <w:tcPr>
                  <w:tcW w:w="1239"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智能高压喷雾抑尘装置抑尘</w:t>
                  </w:r>
                  <w:r>
                    <w:rPr>
                      <w:rFonts w:hint="eastAsia" w:eastAsia="宋体" w:cs="Times New Roman"/>
                      <w:color w:val="auto"/>
                      <w:highlight w:val="none"/>
                      <w:lang w:eastAsia="zh-CN"/>
                    </w:rPr>
                    <w:t>；</w:t>
                  </w:r>
                  <w:r>
                    <w:rPr>
                      <w:rFonts w:hint="eastAsia" w:cs="Times New Roman"/>
                      <w:color w:val="auto"/>
                      <w:highlight w:val="none"/>
                      <w:lang w:eastAsia="zh-CN"/>
                    </w:rPr>
                    <w:t>封闭</w:t>
                  </w:r>
                  <w:r>
                    <w:rPr>
                      <w:rFonts w:ascii="Times New Roman" w:hAnsi="Times New Roman" w:eastAsia="宋体" w:cs="Times New Roman"/>
                      <w:color w:val="auto"/>
                      <w:highlight w:val="none"/>
                    </w:rPr>
                    <w:t>车间</w:t>
                  </w:r>
                </w:p>
              </w:tc>
              <w:tc>
                <w:tcPr>
                  <w:tcW w:w="843"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 </w:t>
                  </w:r>
                </w:p>
              </w:tc>
              <w:tc>
                <w:tcPr>
                  <w:tcW w:w="957"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 </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pct"/>
                  <w:vMerge w:val="continue"/>
                  <w:vAlign w:val="center"/>
                </w:tcPr>
                <w:p>
                  <w:pPr>
                    <w:pStyle w:val="39"/>
                    <w:spacing w:line="300" w:lineRule="exact"/>
                    <w:rPr>
                      <w:rFonts w:ascii="Times New Roman" w:hAnsi="Times New Roman" w:eastAsia="宋体" w:cs="Times New Roman"/>
                      <w:color w:val="auto"/>
                      <w:highlight w:val="none"/>
                    </w:rPr>
                  </w:pPr>
                </w:p>
              </w:tc>
              <w:tc>
                <w:tcPr>
                  <w:tcW w:w="531"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snapToGrid w:val="0"/>
                      <w:color w:val="auto"/>
                      <w:szCs w:val="21"/>
                      <w:highlight w:val="none"/>
                    </w:rPr>
                    <w:t>PM</w:t>
                  </w:r>
                  <w:r>
                    <w:rPr>
                      <w:rFonts w:ascii="Times New Roman" w:hAnsi="Times New Roman"/>
                      <w:snapToGrid w:val="0"/>
                      <w:color w:val="auto"/>
                      <w:szCs w:val="21"/>
                      <w:highlight w:val="none"/>
                      <w:vertAlign w:val="subscript"/>
                    </w:rPr>
                    <w:t>10</w:t>
                  </w:r>
                </w:p>
              </w:tc>
              <w:tc>
                <w:tcPr>
                  <w:tcW w:w="606"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3.139 </w:t>
                  </w:r>
                </w:p>
              </w:tc>
              <w:tc>
                <w:tcPr>
                  <w:tcW w:w="614" w:type="pct"/>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0.396 </w:t>
                  </w:r>
                </w:p>
              </w:tc>
              <w:tc>
                <w:tcPr>
                  <w:tcW w:w="1239" w:type="pct"/>
                  <w:vMerge w:val="continue"/>
                  <w:vAlign w:val="center"/>
                </w:tcPr>
                <w:p>
                  <w:pPr>
                    <w:pStyle w:val="39"/>
                    <w:spacing w:line="300" w:lineRule="exact"/>
                    <w:rPr>
                      <w:rFonts w:hint="default" w:ascii="Times New Roman" w:hAnsi="Times New Roman" w:eastAsia="宋体" w:cs="Times New Roman"/>
                      <w:color w:val="auto"/>
                      <w:highlight w:val="none"/>
                      <w:lang w:val="en-US" w:eastAsia="zh-CN"/>
                    </w:rPr>
                  </w:pPr>
                </w:p>
              </w:tc>
              <w:tc>
                <w:tcPr>
                  <w:tcW w:w="843"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0.008 </w:t>
                  </w:r>
                </w:p>
              </w:tc>
              <w:tc>
                <w:tcPr>
                  <w:tcW w:w="95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bl>
          <w:p>
            <w:pPr>
              <w:spacing w:line="360" w:lineRule="auto"/>
              <w:ind w:firstLine="480" w:firstLineChars="200"/>
              <w:rPr>
                <w:rFonts w:ascii="Times New Roman" w:hAnsi="Times New Roman"/>
                <w:color w:val="auto"/>
                <w:sz w:val="24"/>
                <w:szCs w:val="24"/>
                <w:highlight w:val="none"/>
              </w:rPr>
            </w:pP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eastAsia" w:ascii="Times New Roman" w:hAnsi="Times New Roman" w:eastAsia="宋体" w:cs="Times New Roman"/>
                <w:color w:val="auto"/>
                <w:sz w:val="24"/>
                <w:szCs w:val="24"/>
                <w:highlight w:val="none"/>
                <w:lang w:val="en-US" w:eastAsia="zh-CN"/>
              </w:rPr>
              <w:t>吨袋拆包粉尘</w:t>
            </w:r>
          </w:p>
          <w:p>
            <w:pPr>
              <w:spacing w:line="360" w:lineRule="auto"/>
              <w:ind w:firstLine="480" w:firstLineChars="200"/>
              <w:rPr>
                <w:rFonts w:hint="default" w:ascii="Times New Roman" w:hAnsi="Times New Roman" w:eastAsia="宋体"/>
                <w:color w:val="auto"/>
                <w:sz w:val="24"/>
                <w:szCs w:val="24"/>
                <w:highlight w:val="none"/>
                <w:lang w:val="en-US" w:eastAsia="zh-CN"/>
              </w:rPr>
            </w:pPr>
            <w:r>
              <w:rPr>
                <w:rFonts w:hint="eastAsia"/>
                <w:color w:val="auto"/>
                <w:sz w:val="24"/>
                <w:szCs w:val="24"/>
                <w:highlight w:val="none"/>
                <w:lang w:val="en-US" w:eastAsia="zh-CN"/>
              </w:rPr>
              <w:t>皮带检修期间，部分原料以吨袋方式入港，吨袋无需另外计量，直接拆包</w:t>
            </w:r>
            <w:r>
              <w:rPr>
                <w:rFonts w:hint="eastAsia"/>
                <w:color w:val="auto"/>
                <w:sz w:val="24"/>
                <w:highlight w:val="none"/>
                <w:lang w:val="en-US" w:eastAsia="zh-CN"/>
              </w:rPr>
              <w:t>落入5#胶带输送机，参照《逸散性粉尘控制技术》，拆包落料过程中产生的粉尘量为0.01kg/t-料，吨袋按10万t/a计，则拆包过程粉尘产生量为1t/a，经车间内智能高压喷雾抑尘装置降尘后沉降在封闭生产车间内，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hint="eastAsia"/>
                <w:color w:val="auto"/>
                <w:sz w:val="24"/>
                <w:highlight w:val="none"/>
                <w:lang w:val="en-US" w:eastAsia="zh-CN"/>
              </w:rPr>
              <w:t>，则拆包过程无组织排放量为0.003t/a</w:t>
            </w:r>
            <w:r>
              <w:rPr>
                <w:rFonts w:hint="eastAsia"/>
                <w:color w:val="auto"/>
                <w:sz w:val="24"/>
                <w:szCs w:val="24"/>
                <w:highlight w:val="none"/>
                <w:lang w:val="en-US"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fldChar w:fldCharType="end"/>
            </w:r>
            <w:r>
              <w:rPr>
                <w:rFonts w:hint="eastAsia"/>
                <w:color w:val="auto"/>
                <w:sz w:val="24"/>
                <w:highlight w:val="none"/>
                <w:lang w:val="en-US" w:eastAsia="zh-CN"/>
              </w:rPr>
              <w:t>5#胶带输送机卸料</w:t>
            </w:r>
            <w:r>
              <w:rPr>
                <w:rFonts w:hint="eastAsia" w:ascii="Times New Roman" w:hAnsi="Times New Roman" w:eastAsia="宋体" w:cs="Times New Roman"/>
                <w:color w:val="auto"/>
                <w:sz w:val="24"/>
                <w:szCs w:val="24"/>
                <w:highlight w:val="none"/>
                <w:lang w:val="en-US" w:eastAsia="zh-CN"/>
              </w:rPr>
              <w:t>粉尘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拆包后的物料落入5#胶带输送机后并转运至4#胶带输送机，5#</w:t>
            </w: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拆包后</w:t>
            </w:r>
            <w:r>
              <w:rPr>
                <w:rFonts w:hint="default"/>
                <w:color w:val="auto"/>
                <w:sz w:val="24"/>
                <w:highlight w:val="none"/>
                <w:lang w:val="en-US" w:eastAsia="zh-CN"/>
              </w:rPr>
              <w:t>输送铜精矿规模</w:t>
            </w:r>
            <w:r>
              <w:rPr>
                <w:rFonts w:hint="eastAsia"/>
                <w:color w:val="auto"/>
                <w:sz w:val="24"/>
                <w:highlight w:val="none"/>
                <w:lang w:val="en-US" w:eastAsia="zh-CN"/>
              </w:rPr>
              <w:t>99999</w:t>
            </w:r>
            <w:r>
              <w:rPr>
                <w:rFonts w:hint="default"/>
                <w:color w:val="auto"/>
                <w:sz w:val="24"/>
                <w:highlight w:val="none"/>
                <w:lang w:val="en-US" w:eastAsia="zh-CN"/>
              </w:rPr>
              <w:t>t/a，</w:t>
            </w:r>
            <w:r>
              <w:rPr>
                <w:rFonts w:hint="eastAsia"/>
                <w:color w:val="auto"/>
                <w:sz w:val="24"/>
                <w:highlight w:val="none"/>
                <w:lang w:val="en-US" w:eastAsia="zh-CN"/>
              </w:rPr>
              <w:t>5#胶带输送机</w:t>
            </w:r>
            <w:r>
              <w:rPr>
                <w:rFonts w:hint="default"/>
                <w:color w:val="auto"/>
                <w:sz w:val="24"/>
                <w:highlight w:val="none"/>
                <w:lang w:val="en-US" w:eastAsia="zh-CN"/>
              </w:rPr>
              <w:t>卸料产生的粉尘量</w:t>
            </w:r>
            <w:r>
              <w:rPr>
                <w:rFonts w:hint="eastAsia"/>
                <w:color w:val="auto"/>
                <w:sz w:val="24"/>
                <w:highlight w:val="none"/>
                <w:lang w:val="en-US" w:eastAsia="zh-CN"/>
              </w:rPr>
              <w:t>约1.0</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80"/>
              <w:rPr>
                <w:rFonts w:hint="eastAsia"/>
                <w:color w:val="auto"/>
                <w:szCs w:val="21"/>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0.1</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color w:val="auto"/>
                <w:spacing w:val="-5"/>
                <w:highlight w:val="none"/>
              </w:rPr>
              <w:t>，则</w:t>
            </w:r>
            <w:r>
              <w:rPr>
                <w:rFonts w:hint="eastAsia"/>
                <w:color w:val="auto"/>
                <w:sz w:val="24"/>
                <w:highlight w:val="none"/>
                <w:lang w:val="en-US" w:eastAsia="zh-CN"/>
              </w:rPr>
              <w:t>5</w:t>
            </w:r>
            <w:r>
              <w:rPr>
                <w:rFonts w:hint="default"/>
                <w:color w:val="auto"/>
                <w:sz w:val="24"/>
                <w:highlight w:val="none"/>
                <w:lang w:val="en-US" w:eastAsia="zh-CN"/>
              </w:rPr>
              <w:t>#胶带输送机</w:t>
            </w:r>
            <w:r>
              <w:rPr>
                <w:rFonts w:hint="eastAsia"/>
                <w:color w:val="auto"/>
                <w:sz w:val="24"/>
                <w:highlight w:val="none"/>
                <w:lang w:val="en-US" w:eastAsia="zh-CN"/>
              </w:rPr>
              <w:t>卸料粉尘</w:t>
            </w:r>
            <w:r>
              <w:rPr>
                <w:color w:val="auto"/>
                <w:spacing w:val="-5"/>
                <w:highlight w:val="none"/>
              </w:rPr>
              <w:t>无组织排放量为0.</w:t>
            </w:r>
            <w:r>
              <w:rPr>
                <w:rFonts w:hint="eastAsia"/>
                <w:color w:val="auto"/>
                <w:spacing w:val="-5"/>
                <w:highlight w:val="none"/>
                <w:lang w:val="en-US" w:eastAsia="zh-CN"/>
              </w:rPr>
              <w:t>0003</w:t>
            </w:r>
            <w:r>
              <w:rPr>
                <w:color w:val="auto"/>
                <w:spacing w:val="-5"/>
                <w:highlight w:val="none"/>
              </w:rPr>
              <w:t>t/a</w:t>
            </w:r>
            <w:r>
              <w:rPr>
                <w:rFonts w:ascii="Times New Roman" w:hAnsi="Times New Roman"/>
                <w:color w:val="auto"/>
                <w:sz w:val="24"/>
                <w:szCs w:val="24"/>
                <w:highlight w:val="none"/>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5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6#胶带输送机</w:t>
            </w:r>
            <w:r>
              <w:rPr>
                <w:rFonts w:hint="eastAsia"/>
                <w:color w:val="auto"/>
                <w:sz w:val="24"/>
                <w:highlight w:val="none"/>
                <w:lang w:val="en-US" w:eastAsia="zh-CN"/>
              </w:rPr>
              <w:t>卸料</w:t>
            </w:r>
            <w:r>
              <w:rPr>
                <w:rFonts w:hint="eastAsia" w:ascii="Times New Roman" w:hAnsi="Times New Roman" w:eastAsia="宋体" w:cs="Times New Roman"/>
                <w:color w:val="auto"/>
                <w:sz w:val="24"/>
                <w:szCs w:val="24"/>
                <w:highlight w:val="none"/>
                <w:lang w:val="en-US" w:eastAsia="zh-CN"/>
              </w:rPr>
              <w:t>粉尘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集装箱装原矿称重后，经中间料仓落入6#胶带输送机后并转运至4#胶带输送机，6#</w:t>
            </w: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集装箱</w:t>
            </w:r>
            <w:r>
              <w:rPr>
                <w:rFonts w:hint="default"/>
                <w:color w:val="auto"/>
                <w:sz w:val="24"/>
                <w:highlight w:val="none"/>
                <w:lang w:val="en-US" w:eastAsia="zh-CN"/>
              </w:rPr>
              <w:t>输送铜精矿规模</w:t>
            </w:r>
            <w:r>
              <w:rPr>
                <w:rFonts w:hint="eastAsia"/>
                <w:color w:val="auto"/>
                <w:sz w:val="24"/>
                <w:highlight w:val="none"/>
                <w:lang w:val="en-US" w:eastAsia="zh-CN"/>
              </w:rPr>
              <w:t>10万</w:t>
            </w:r>
            <w:r>
              <w:rPr>
                <w:rFonts w:hint="default"/>
                <w:color w:val="auto"/>
                <w:sz w:val="24"/>
                <w:highlight w:val="none"/>
                <w:lang w:val="en-US" w:eastAsia="zh-CN"/>
              </w:rPr>
              <w:t>t/a，</w:t>
            </w:r>
            <w:r>
              <w:rPr>
                <w:rFonts w:hint="eastAsia"/>
                <w:color w:val="auto"/>
                <w:sz w:val="24"/>
                <w:highlight w:val="none"/>
                <w:lang w:val="en-US" w:eastAsia="zh-CN"/>
              </w:rPr>
              <w:t>6#胶带输送机</w:t>
            </w:r>
            <w:r>
              <w:rPr>
                <w:rFonts w:hint="default"/>
                <w:color w:val="auto"/>
                <w:sz w:val="24"/>
                <w:highlight w:val="none"/>
                <w:lang w:val="en-US" w:eastAsia="zh-CN"/>
              </w:rPr>
              <w:t>卸料产生的粉尘量</w:t>
            </w:r>
            <w:r>
              <w:rPr>
                <w:rFonts w:hint="eastAsia"/>
                <w:color w:val="auto"/>
                <w:sz w:val="24"/>
                <w:highlight w:val="none"/>
                <w:lang w:val="en-US" w:eastAsia="zh-CN"/>
              </w:rPr>
              <w:t>1.0</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80"/>
              <w:rPr>
                <w:rFonts w:hint="eastAsia"/>
                <w:color w:val="auto"/>
                <w:szCs w:val="21"/>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0.1</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color w:val="auto"/>
                <w:spacing w:val="-5"/>
                <w:highlight w:val="none"/>
              </w:rPr>
              <w:t>，则</w:t>
            </w:r>
            <w:r>
              <w:rPr>
                <w:rFonts w:hint="eastAsia"/>
                <w:color w:val="auto"/>
                <w:sz w:val="24"/>
                <w:highlight w:val="none"/>
                <w:lang w:val="en-US" w:eastAsia="zh-CN"/>
              </w:rPr>
              <w:t>6</w:t>
            </w:r>
            <w:r>
              <w:rPr>
                <w:rFonts w:hint="default"/>
                <w:color w:val="auto"/>
                <w:sz w:val="24"/>
                <w:highlight w:val="none"/>
                <w:lang w:val="en-US" w:eastAsia="zh-CN"/>
              </w:rPr>
              <w:t>#胶带输送机</w:t>
            </w:r>
            <w:r>
              <w:rPr>
                <w:rFonts w:hint="eastAsia"/>
                <w:color w:val="auto"/>
                <w:sz w:val="24"/>
                <w:highlight w:val="none"/>
                <w:lang w:val="en-US" w:eastAsia="zh-CN"/>
              </w:rPr>
              <w:t>卸料粉尘</w:t>
            </w:r>
            <w:r>
              <w:rPr>
                <w:color w:val="auto"/>
                <w:spacing w:val="-5"/>
                <w:highlight w:val="none"/>
              </w:rPr>
              <w:t>无组织排放量为0.</w:t>
            </w:r>
            <w:r>
              <w:rPr>
                <w:rFonts w:hint="eastAsia"/>
                <w:color w:val="auto"/>
                <w:spacing w:val="-5"/>
                <w:highlight w:val="none"/>
                <w:lang w:val="en-US" w:eastAsia="zh-CN"/>
              </w:rPr>
              <w:t>0003</w:t>
            </w:r>
            <w:r>
              <w:rPr>
                <w:color w:val="auto"/>
                <w:spacing w:val="-5"/>
                <w:highlight w:val="none"/>
              </w:rPr>
              <w:t>t/a</w:t>
            </w:r>
            <w:r>
              <w:rPr>
                <w:rFonts w:ascii="Times New Roman" w:hAnsi="Times New Roman"/>
                <w:color w:val="auto"/>
                <w:sz w:val="24"/>
                <w:szCs w:val="24"/>
                <w:highlight w:val="none"/>
              </w:rPr>
              <w:t>。</w:t>
            </w:r>
          </w:p>
          <w:p>
            <w:pPr>
              <w:pStyle w:val="32"/>
              <w:ind w:firstLine="480"/>
              <w:rPr>
                <w:rFonts w:hint="default" w:eastAsia="宋体"/>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3</w:t>
            </w:r>
            <w:r>
              <w:rPr>
                <w:rFonts w:hint="eastAsia"/>
                <w:color w:val="auto"/>
                <w:szCs w:val="21"/>
                <w:highlight w:val="none"/>
              </w:rPr>
              <w:t>）</w:t>
            </w:r>
            <w:r>
              <w:rPr>
                <w:rFonts w:hint="eastAsia"/>
                <w:color w:val="auto"/>
                <w:szCs w:val="21"/>
                <w:highlight w:val="none"/>
                <w:lang w:val="en-US" w:eastAsia="zh-CN"/>
              </w:rPr>
              <w:t>混矿库粉尘</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4#胶带输送机</w:t>
            </w:r>
            <w:r>
              <w:rPr>
                <w:rFonts w:hint="eastAsia"/>
                <w:color w:val="auto"/>
                <w:sz w:val="24"/>
                <w:highlight w:val="none"/>
                <w:lang w:val="en-US" w:eastAsia="zh-CN"/>
              </w:rPr>
              <w:t>卸料</w:t>
            </w:r>
            <w:r>
              <w:rPr>
                <w:rFonts w:hint="eastAsia" w:ascii="Times New Roman" w:hAnsi="Times New Roman" w:eastAsia="宋体" w:cs="Times New Roman"/>
                <w:color w:val="auto"/>
                <w:sz w:val="24"/>
                <w:szCs w:val="24"/>
                <w:highlight w:val="none"/>
                <w:lang w:val="en-US" w:eastAsia="zh-CN"/>
              </w:rPr>
              <w:t>粉尘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散货、吨袋、集装箱最终均转运至4#胶带输送机送往混矿库。4#</w:t>
            </w: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4#胶带输送机</w:t>
            </w:r>
            <w:r>
              <w:rPr>
                <w:rFonts w:hint="default"/>
                <w:color w:val="auto"/>
                <w:sz w:val="24"/>
                <w:highlight w:val="none"/>
                <w:lang w:val="en-US" w:eastAsia="zh-CN"/>
              </w:rPr>
              <w:t>输送铜精矿规模</w:t>
            </w:r>
            <w:r>
              <w:rPr>
                <w:rFonts w:hint="eastAsia"/>
                <w:color w:val="auto"/>
                <w:sz w:val="24"/>
                <w:highlight w:val="none"/>
                <w:lang w:val="en-US" w:eastAsia="zh-CN"/>
              </w:rPr>
              <w:t>1007171.074</w:t>
            </w:r>
            <w:r>
              <w:rPr>
                <w:rFonts w:hint="default"/>
                <w:color w:val="auto"/>
                <w:sz w:val="24"/>
                <w:highlight w:val="none"/>
                <w:lang w:val="en-US" w:eastAsia="zh-CN"/>
              </w:rPr>
              <w:t>t/a</w:t>
            </w:r>
            <w:r>
              <w:rPr>
                <w:rFonts w:hint="eastAsia"/>
                <w:color w:val="auto"/>
                <w:sz w:val="24"/>
                <w:highlight w:val="none"/>
                <w:lang w:val="en-US" w:eastAsia="zh-CN"/>
              </w:rPr>
              <w:t>（喷雾抑尘过程含水量增加7199.28t/a）</w:t>
            </w:r>
            <w:r>
              <w:rPr>
                <w:rFonts w:hint="default"/>
                <w:color w:val="auto"/>
                <w:sz w:val="24"/>
                <w:highlight w:val="none"/>
                <w:lang w:val="en-US" w:eastAsia="zh-CN"/>
              </w:rPr>
              <w:t>，</w:t>
            </w:r>
            <w:r>
              <w:rPr>
                <w:rFonts w:hint="eastAsia"/>
                <w:color w:val="auto"/>
                <w:sz w:val="24"/>
                <w:highlight w:val="none"/>
                <w:lang w:val="en-US" w:eastAsia="zh-CN"/>
              </w:rPr>
              <w:t>4#胶带输送机</w:t>
            </w:r>
            <w:r>
              <w:rPr>
                <w:rFonts w:hint="default"/>
                <w:color w:val="auto"/>
                <w:sz w:val="24"/>
                <w:highlight w:val="none"/>
                <w:lang w:val="en-US" w:eastAsia="zh-CN"/>
              </w:rPr>
              <w:t>卸料产生的粉尘量</w:t>
            </w:r>
            <w:r>
              <w:rPr>
                <w:rFonts w:hint="eastAsia"/>
                <w:color w:val="auto"/>
                <w:sz w:val="24"/>
                <w:highlight w:val="none"/>
                <w:lang w:val="en-US" w:eastAsia="zh-CN"/>
              </w:rPr>
              <w:t>约10.08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75</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4</w:t>
            </w:r>
            <w:r>
              <w:rPr>
                <w:rFonts w:hint="eastAsia"/>
                <w:color w:val="auto"/>
                <w:szCs w:val="21"/>
                <w:highlight w:val="none"/>
              </w:rPr>
              <w:t>）</w:t>
            </w:r>
            <w:r>
              <w:rPr>
                <w:color w:val="auto"/>
                <w:spacing w:val="-5"/>
                <w:highlight w:val="none"/>
              </w:rPr>
              <w:t>排放。</w:t>
            </w:r>
          </w:p>
          <w:p>
            <w:pPr>
              <w:pStyle w:val="32"/>
              <w:ind w:firstLine="480"/>
              <w:rPr>
                <w:rFonts w:hint="eastAsia"/>
                <w:color w:val="auto"/>
                <w:szCs w:val="21"/>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1.007</w:t>
            </w:r>
            <w:r>
              <w:rPr>
                <w:rFonts w:hint="eastAsia"/>
                <w:color w:val="auto"/>
                <w:spacing w:val="-5"/>
                <w:highlight w:val="none"/>
              </w:rPr>
              <w:t>t/a）</w:t>
            </w:r>
            <w:r>
              <w:rPr>
                <w:color w:val="auto"/>
                <w:spacing w:val="-5"/>
                <w:highlight w:val="none"/>
              </w:rPr>
              <w:t>经</w:t>
            </w:r>
            <w:r>
              <w:rPr>
                <w:rFonts w:hint="eastAsia"/>
                <w:color w:val="auto"/>
                <w:spacing w:val="-5"/>
                <w:highlight w:val="none"/>
                <w:lang w:val="en-US" w:eastAsia="zh-CN"/>
              </w:rPr>
              <w:t>混矿库</w:t>
            </w:r>
            <w:r>
              <w:rPr>
                <w:color w:val="auto"/>
                <w:spacing w:val="-5"/>
                <w:highlight w:val="none"/>
              </w:rPr>
              <w:t>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color w:val="auto"/>
                <w:spacing w:val="-5"/>
                <w:highlight w:val="none"/>
              </w:rPr>
              <w:t>，则</w:t>
            </w:r>
            <w:r>
              <w:rPr>
                <w:rFonts w:hint="eastAsia"/>
                <w:color w:val="auto"/>
                <w:sz w:val="24"/>
                <w:highlight w:val="none"/>
                <w:lang w:val="en-US" w:eastAsia="zh-CN"/>
              </w:rPr>
              <w:t>4</w:t>
            </w:r>
            <w:r>
              <w:rPr>
                <w:rFonts w:hint="default"/>
                <w:color w:val="auto"/>
                <w:sz w:val="24"/>
                <w:highlight w:val="none"/>
                <w:lang w:val="en-US" w:eastAsia="zh-CN"/>
              </w:rPr>
              <w:t>#胶带输送机</w:t>
            </w:r>
            <w:r>
              <w:rPr>
                <w:rFonts w:hint="eastAsia"/>
                <w:color w:val="auto"/>
                <w:sz w:val="24"/>
                <w:highlight w:val="none"/>
                <w:lang w:val="en-US" w:eastAsia="zh-CN"/>
              </w:rPr>
              <w:t>卸料粉尘</w:t>
            </w:r>
            <w:r>
              <w:rPr>
                <w:color w:val="auto"/>
                <w:spacing w:val="-5"/>
                <w:highlight w:val="none"/>
              </w:rPr>
              <w:t>无组织排放量为0.</w:t>
            </w:r>
            <w:r>
              <w:rPr>
                <w:rFonts w:hint="eastAsia"/>
                <w:color w:val="auto"/>
                <w:spacing w:val="-5"/>
                <w:highlight w:val="none"/>
                <w:lang w:val="en-US" w:eastAsia="zh-CN"/>
              </w:rPr>
              <w:t>003</w:t>
            </w:r>
            <w:r>
              <w:rPr>
                <w:color w:val="auto"/>
                <w:spacing w:val="-5"/>
                <w:highlight w:val="none"/>
              </w:rPr>
              <w:t>t/a</w:t>
            </w:r>
            <w:r>
              <w:rPr>
                <w:rFonts w:ascii="Times New Roman" w:hAnsi="Times New Roman"/>
                <w:color w:val="auto"/>
                <w:sz w:val="24"/>
                <w:szCs w:val="24"/>
                <w:highlight w:val="none"/>
              </w:rPr>
              <w:t>。</w:t>
            </w:r>
          </w:p>
          <w:p>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eastAsia"/>
                <w:color w:val="auto"/>
                <w:sz w:val="24"/>
                <w:highlight w:val="none"/>
                <w:lang w:val="en-US" w:eastAsia="zh-CN"/>
              </w:rPr>
              <w:t>S-15皮带廊进料带式等输送机卸料粉尘</w:t>
            </w:r>
          </w:p>
          <w:p>
            <w:pPr>
              <w:spacing w:line="360" w:lineRule="auto"/>
              <w:ind w:firstLine="480" w:firstLineChars="200"/>
              <w:rPr>
                <w:rFonts w:hint="eastAsia"/>
                <w:color w:val="auto"/>
                <w:sz w:val="24"/>
                <w:highlight w:val="none"/>
                <w:lang w:val="en-US" w:eastAsia="zh-CN"/>
              </w:rPr>
            </w:pPr>
            <w:r>
              <w:rPr>
                <w:rFonts w:hint="default"/>
                <w:color w:val="auto"/>
                <w:sz w:val="24"/>
                <w:highlight w:val="none"/>
                <w:lang w:val="en-US" w:eastAsia="zh-CN"/>
              </w:rPr>
              <w:t>原料矿(标矿+非标矿)通过S-15皮带廊进料带式输送机(南北向)、S-1进料带式输送机(东西向)、S-3进料带式输送机(南北向)输送至S-6原料矿布料带式输送机(东西向)；然后，通过S-16横向布料机将原料矿均匀布料至2个非标矿堆放区、4个标矿堆放区</w:t>
            </w:r>
            <w:r>
              <w:rPr>
                <w:rFonts w:hint="eastAsia"/>
                <w:color w:val="auto"/>
                <w:sz w:val="24"/>
                <w:highlight w:val="none"/>
                <w:lang w:val="en-US" w:eastAsia="zh-CN"/>
              </w:rPr>
              <w:t>。</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A.</w:t>
            </w:r>
            <w:r>
              <w:rPr>
                <w:rFonts w:hint="default"/>
                <w:color w:val="auto"/>
                <w:sz w:val="24"/>
                <w:highlight w:val="none"/>
                <w:lang w:val="en-US" w:eastAsia="zh-CN"/>
              </w:rPr>
              <w:t>S-15皮带廊进料带式输送机</w:t>
            </w:r>
            <w:r>
              <w:rPr>
                <w:rFonts w:hint="eastAsia"/>
                <w:color w:val="auto"/>
                <w:sz w:val="24"/>
                <w:highlight w:val="none"/>
                <w:lang w:val="en-US" w:eastAsia="zh-CN"/>
              </w:rPr>
              <w:t>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参照《逸散性粉尘控制技术》，落料过程中产生的粉尘量为0.01kg/t-料，S-15皮带廊进料带式</w:t>
            </w:r>
            <w:r>
              <w:rPr>
                <w:rFonts w:hint="eastAsia"/>
                <w:color w:val="auto"/>
                <w:sz w:val="24"/>
                <w:highlight w:val="none"/>
                <w:lang w:val="en-US" w:eastAsia="zh-CN"/>
              </w:rPr>
              <w:t>输送机</w:t>
            </w:r>
            <w:r>
              <w:rPr>
                <w:rFonts w:hint="default"/>
                <w:color w:val="auto"/>
                <w:sz w:val="24"/>
                <w:highlight w:val="none"/>
                <w:lang w:val="en-US" w:eastAsia="zh-CN"/>
              </w:rPr>
              <w:t>输送铜精矿规模</w:t>
            </w:r>
            <w:r>
              <w:rPr>
                <w:rFonts w:hint="eastAsia"/>
                <w:color w:val="auto"/>
                <w:sz w:val="24"/>
                <w:highlight w:val="none"/>
                <w:lang w:val="en-US" w:eastAsia="zh-CN"/>
              </w:rPr>
              <w:t>1007162.002</w:t>
            </w:r>
            <w:r>
              <w:rPr>
                <w:rFonts w:hint="default"/>
                <w:color w:val="auto"/>
                <w:sz w:val="24"/>
                <w:highlight w:val="none"/>
                <w:lang w:val="en-US" w:eastAsia="zh-CN"/>
              </w:rPr>
              <w:t>t/a，卸料产生的粉尘量</w:t>
            </w:r>
            <w:r>
              <w:rPr>
                <w:rFonts w:hint="eastAsia"/>
                <w:color w:val="auto"/>
                <w:sz w:val="24"/>
                <w:highlight w:val="none"/>
                <w:lang w:val="en-US" w:eastAsia="zh-CN"/>
              </w:rPr>
              <w:t>约10.07</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75</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4</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1.007</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default"/>
                <w:color w:val="auto"/>
                <w:sz w:val="24"/>
                <w:highlight w:val="none"/>
                <w:lang w:val="en-US" w:eastAsia="zh-CN"/>
              </w:rPr>
              <w:t>S-15皮带廊进料带式</w:t>
            </w:r>
            <w:r>
              <w:rPr>
                <w:rFonts w:hint="eastAsia"/>
                <w:color w:val="auto"/>
                <w:sz w:val="24"/>
                <w:highlight w:val="none"/>
                <w:lang w:val="en-US" w:eastAsia="zh-CN"/>
              </w:rPr>
              <w:t>输送机卸料粉尘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B.</w:t>
            </w:r>
            <w:r>
              <w:rPr>
                <w:rFonts w:hint="default"/>
                <w:color w:val="auto"/>
                <w:sz w:val="24"/>
                <w:highlight w:val="none"/>
                <w:lang w:val="en-US" w:eastAsia="zh-CN"/>
              </w:rPr>
              <w:t>S-1进料带式输送机(东西向)</w:t>
            </w:r>
            <w:r>
              <w:rPr>
                <w:rFonts w:hint="eastAsia"/>
                <w:color w:val="auto"/>
                <w:sz w:val="24"/>
                <w:highlight w:val="none"/>
                <w:lang w:val="en-US" w:eastAsia="zh-CN"/>
              </w:rPr>
              <w:t>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参照《逸散性粉尘控制技术》，落料过程中产生的粉尘量为0.01kg/t-料，S-1进料带式输送机(东西向)输送铜精矿规模</w:t>
            </w:r>
            <w:r>
              <w:rPr>
                <w:rFonts w:hint="eastAsia"/>
                <w:color w:val="auto"/>
                <w:sz w:val="24"/>
                <w:highlight w:val="none"/>
                <w:lang w:val="en-US" w:eastAsia="zh-CN"/>
              </w:rPr>
              <w:t>1007140.86</w:t>
            </w:r>
            <w:r>
              <w:rPr>
                <w:rFonts w:hint="default"/>
                <w:color w:val="auto"/>
                <w:sz w:val="24"/>
                <w:highlight w:val="none"/>
                <w:lang w:val="en-US" w:eastAsia="zh-CN"/>
              </w:rPr>
              <w:t>t/a，卸料产生的粉尘量</w:t>
            </w:r>
            <w:r>
              <w:rPr>
                <w:rFonts w:hint="eastAsia"/>
                <w:color w:val="auto"/>
                <w:sz w:val="24"/>
                <w:highlight w:val="none"/>
                <w:lang w:val="en-US" w:eastAsia="zh-CN"/>
              </w:rPr>
              <w:t>约10.07</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75</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4</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1.007</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default"/>
                <w:color w:val="auto"/>
                <w:sz w:val="24"/>
                <w:highlight w:val="none"/>
                <w:lang w:val="en-US" w:eastAsia="zh-CN"/>
              </w:rPr>
              <w:t>S-1进料带式输送机(东西向)</w:t>
            </w:r>
            <w:r>
              <w:rPr>
                <w:rFonts w:hint="eastAsia"/>
                <w:color w:val="auto"/>
                <w:sz w:val="24"/>
                <w:highlight w:val="none"/>
                <w:lang w:val="en-US" w:eastAsia="zh-CN"/>
              </w:rPr>
              <w:t>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C.</w:t>
            </w:r>
            <w:r>
              <w:rPr>
                <w:rFonts w:hint="default"/>
                <w:color w:val="auto"/>
                <w:sz w:val="24"/>
                <w:highlight w:val="none"/>
                <w:lang w:val="en-US" w:eastAsia="zh-CN"/>
              </w:rPr>
              <w:t>S-3进料带式输送机(南北向)</w:t>
            </w:r>
            <w:r>
              <w:rPr>
                <w:rFonts w:hint="eastAsia"/>
                <w:color w:val="auto"/>
                <w:sz w:val="24"/>
                <w:highlight w:val="none"/>
                <w:lang w:val="en-US" w:eastAsia="zh-CN"/>
              </w:rPr>
              <w:t>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参照《逸散性粉尘控制技术》，落料过程中产生的粉尘量为0.01kg/t-料，S-3进料带式输送机(南北向)输送铜精矿规模</w:t>
            </w:r>
            <w:r>
              <w:rPr>
                <w:rFonts w:hint="eastAsia"/>
                <w:color w:val="auto"/>
                <w:sz w:val="24"/>
                <w:highlight w:val="none"/>
                <w:lang w:val="en-US" w:eastAsia="zh-CN"/>
              </w:rPr>
              <w:t>1007140.86</w:t>
            </w:r>
            <w:r>
              <w:rPr>
                <w:rFonts w:hint="default"/>
                <w:color w:val="auto"/>
                <w:sz w:val="24"/>
                <w:highlight w:val="none"/>
                <w:lang w:val="en-US" w:eastAsia="zh-CN"/>
              </w:rPr>
              <w:t>t/a，卸料产生的粉尘量</w:t>
            </w:r>
            <w:r>
              <w:rPr>
                <w:rFonts w:hint="eastAsia"/>
                <w:color w:val="auto"/>
                <w:sz w:val="24"/>
                <w:highlight w:val="none"/>
                <w:lang w:val="en-US" w:eastAsia="zh-CN"/>
              </w:rPr>
              <w:t>约10.07</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1.007</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default"/>
                <w:color w:val="auto"/>
                <w:sz w:val="24"/>
                <w:highlight w:val="none"/>
                <w:lang w:val="en-US" w:eastAsia="zh-CN"/>
              </w:rPr>
              <w:t>S-3进料带式输送机(南北向)</w:t>
            </w:r>
            <w:r>
              <w:rPr>
                <w:rFonts w:hint="eastAsia"/>
                <w:color w:val="auto"/>
                <w:sz w:val="24"/>
                <w:highlight w:val="none"/>
                <w:lang w:val="en-US" w:eastAsia="zh-CN"/>
              </w:rPr>
              <w:t>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D.</w:t>
            </w:r>
            <w:r>
              <w:rPr>
                <w:rFonts w:hint="default"/>
                <w:color w:val="auto"/>
                <w:sz w:val="24"/>
                <w:highlight w:val="none"/>
                <w:lang w:val="en-US" w:eastAsia="zh-CN"/>
              </w:rPr>
              <w:t>S-6原料矿布料带式输送机(东西向)</w:t>
            </w:r>
            <w:r>
              <w:rPr>
                <w:rFonts w:hint="eastAsia"/>
                <w:color w:val="auto"/>
                <w:sz w:val="24"/>
                <w:highlight w:val="none"/>
                <w:lang w:val="en-US" w:eastAsia="zh-CN"/>
              </w:rPr>
              <w:t>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参照《逸散性粉尘控制技术》，落料过程中产生的粉尘量为0.01kg/t-料，S-6原料矿布料带式输送机(东西向)输送铜精矿规模</w:t>
            </w:r>
            <w:r>
              <w:rPr>
                <w:rFonts w:hint="eastAsia"/>
                <w:color w:val="auto"/>
                <w:sz w:val="24"/>
                <w:highlight w:val="none"/>
                <w:lang w:val="en-US" w:eastAsia="zh-CN"/>
              </w:rPr>
              <w:t>1007130.79</w:t>
            </w:r>
            <w:r>
              <w:rPr>
                <w:rFonts w:hint="default"/>
                <w:color w:val="auto"/>
                <w:sz w:val="24"/>
                <w:highlight w:val="none"/>
                <w:lang w:val="en-US" w:eastAsia="zh-CN"/>
              </w:rPr>
              <w:t>t/a，卸料产生的粉尘量</w:t>
            </w:r>
            <w:r>
              <w:rPr>
                <w:rFonts w:hint="eastAsia"/>
                <w:color w:val="auto"/>
                <w:sz w:val="24"/>
                <w:highlight w:val="none"/>
                <w:lang w:val="en-US" w:eastAsia="zh-CN"/>
              </w:rPr>
              <w:t>约10.07</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60"/>
              <w:rPr>
                <w:rFonts w:hint="default" w:ascii="Times New Roman" w:hAnsi="Times New Roman" w:eastAsia="宋体" w:cs="Times New Roman"/>
                <w:color w:val="auto"/>
                <w:spacing w:val="-5"/>
                <w:highlight w:val="none"/>
                <w:lang w:val="en-US" w:eastAsia="zh-CN"/>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1.007</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default"/>
                <w:color w:val="auto"/>
                <w:sz w:val="24"/>
                <w:highlight w:val="none"/>
                <w:lang w:val="en-US" w:eastAsia="zh-CN"/>
              </w:rPr>
              <w:t>S-6原料矿布料带式输送机(东西向)</w:t>
            </w:r>
            <w:r>
              <w:rPr>
                <w:rFonts w:ascii="Times New Roman" w:hAnsi="Times New Roman" w:eastAsia="宋体" w:cs="Times New Roman"/>
                <w:color w:val="auto"/>
                <w:spacing w:val="-5"/>
                <w:highlight w:val="none"/>
              </w:rPr>
              <w:t>无组织排放量为0.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pStyle w:val="32"/>
              <w:ind w:firstLine="480"/>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w:t>
            </w:r>
            <w:r>
              <w:rPr>
                <w:rFonts w:hint="eastAsia" w:ascii="Times New Roman" w:hAnsi="Times New Roman" w:eastAsia="宋体" w:cs="Times New Roman"/>
                <w:color w:val="auto"/>
                <w:highlight w:val="none"/>
                <w:lang w:val="en-US" w:eastAsia="zh-CN"/>
              </w:rPr>
              <w:t>混矿库内原料堆存扬尘</w:t>
            </w:r>
          </w:p>
          <w:p>
            <w:pPr>
              <w:pStyle w:val="32"/>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根据前文卸矿站内原料堆存过程粉尘核算方式，混矿库内原料堆场堆存、装卸过程粉尘产生量和排放量详见下表：</w:t>
            </w:r>
          </w:p>
          <w:p>
            <w:pPr>
              <w:pStyle w:val="33"/>
              <w:outlineLvl w:val="4"/>
              <w:rPr>
                <w:rFonts w:hint="eastAsia" w:eastAsia="宋体" w:cs="Times New Roman"/>
                <w:color w:val="auto"/>
                <w:highlight w:val="none"/>
                <w:lang w:val="en-US" w:eastAsia="zh-CN"/>
              </w:rPr>
            </w:pPr>
            <w:r>
              <w:rPr>
                <w:rFonts w:hint="eastAsia" w:eastAsia="宋体" w:cs="Times New Roman"/>
                <w:color w:val="auto"/>
                <w:highlight w:val="none"/>
                <w:lang w:val="en-US" w:eastAsia="zh-CN"/>
              </w:rPr>
              <w:t>表4.2.6  混矿库原料堆场堆存、装卸过程粉尘产排情况一览表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98"/>
              <w:gridCol w:w="1238"/>
              <w:gridCol w:w="1109"/>
              <w:gridCol w:w="2010"/>
              <w:gridCol w:w="844"/>
              <w:gridCol w:w="95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3"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污染源</w:t>
                  </w:r>
                </w:p>
              </w:tc>
              <w:tc>
                <w:tcPr>
                  <w:tcW w:w="599"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污染物名称</w:t>
                  </w:r>
                </w:p>
              </w:tc>
              <w:tc>
                <w:tcPr>
                  <w:tcW w:w="1280"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产生情况</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983"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排放情况</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Merge w:val="continue"/>
                  <w:vAlign w:val="center"/>
                </w:tcPr>
                <w:p>
                  <w:pPr>
                    <w:pStyle w:val="39"/>
                    <w:spacing w:line="300" w:lineRule="exact"/>
                    <w:rPr>
                      <w:rFonts w:ascii="Times New Roman" w:hAnsi="Times New Roman" w:eastAsia="宋体" w:cs="Times New Roman"/>
                      <w:color w:val="auto"/>
                      <w:highlight w:val="none"/>
                    </w:rPr>
                  </w:pPr>
                </w:p>
              </w:tc>
              <w:tc>
                <w:tcPr>
                  <w:tcW w:w="67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60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1096" w:type="pct"/>
                  <w:vMerge w:val="continue"/>
                  <w:vAlign w:val="center"/>
                </w:tcPr>
                <w:p>
                  <w:pPr>
                    <w:pStyle w:val="39"/>
                    <w:spacing w:line="300" w:lineRule="exact"/>
                    <w:rPr>
                      <w:rFonts w:ascii="Times New Roman" w:hAnsi="Times New Roman" w:eastAsia="宋体" w:cs="Times New Roman"/>
                      <w:color w:val="auto"/>
                      <w:highlight w:val="none"/>
                    </w:rPr>
                  </w:pPr>
                </w:p>
              </w:tc>
              <w:tc>
                <w:tcPr>
                  <w:tcW w:w="460"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523"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53" w:type="pct"/>
                  <w:vMerge w:val="restar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混矿库</w:t>
                  </w:r>
                  <w:r>
                    <w:rPr>
                      <w:rFonts w:ascii="Times New Roman" w:hAnsi="Times New Roman" w:eastAsia="宋体" w:cs="Times New Roman"/>
                      <w:color w:val="auto"/>
                      <w:highlight w:val="none"/>
                    </w:rPr>
                    <w:t>原料</w:t>
                  </w:r>
                  <w:r>
                    <w:rPr>
                      <w:rFonts w:hint="eastAsia" w:eastAsia="宋体" w:cs="Times New Roman"/>
                      <w:color w:val="auto"/>
                      <w:highlight w:val="none"/>
                      <w:lang w:val="en-US" w:eastAsia="zh-CN"/>
                    </w:rPr>
                    <w:t>装卸</w:t>
                  </w:r>
                </w:p>
              </w:tc>
              <w:tc>
                <w:tcPr>
                  <w:tcW w:w="599" w:type="pc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TSP</w:t>
                  </w:r>
                </w:p>
              </w:tc>
              <w:tc>
                <w:tcPr>
                  <w:tcW w:w="1238"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9.090 </w:t>
                  </w:r>
                </w:p>
              </w:tc>
              <w:tc>
                <w:tcPr>
                  <w:tcW w:w="110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 </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智能高压喷雾抑尘装置抑尘</w:t>
                  </w:r>
                  <w:r>
                    <w:rPr>
                      <w:rFonts w:hint="eastAsia" w:eastAsia="宋体" w:cs="Times New Roman"/>
                      <w:color w:val="auto"/>
                      <w:highlight w:val="none"/>
                      <w:lang w:eastAsia="zh-CN"/>
                    </w:rPr>
                    <w:t>；</w:t>
                  </w:r>
                  <w:r>
                    <w:rPr>
                      <w:rFonts w:hint="eastAsia" w:cs="Times New Roman"/>
                      <w:color w:val="auto"/>
                      <w:highlight w:val="none"/>
                      <w:lang w:eastAsia="zh-CN"/>
                    </w:rPr>
                    <w:t>封闭</w:t>
                  </w:r>
                  <w:r>
                    <w:rPr>
                      <w:rFonts w:ascii="Times New Roman" w:hAnsi="Times New Roman" w:eastAsia="宋体" w:cs="Times New Roman"/>
                      <w:color w:val="auto"/>
                      <w:highlight w:val="none"/>
                    </w:rPr>
                    <w:t>车间</w:t>
                  </w:r>
                </w:p>
              </w:tc>
              <w:tc>
                <w:tcPr>
                  <w:tcW w:w="844"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 </w:t>
                  </w:r>
                </w:p>
              </w:tc>
              <w:tc>
                <w:tcPr>
                  <w:tcW w:w="95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snapToGrid w:val="0"/>
                      <w:color w:val="auto"/>
                      <w:szCs w:val="21"/>
                      <w:highlight w:val="none"/>
                    </w:rPr>
                    <w:t>PM</w:t>
                  </w:r>
                  <w:r>
                    <w:rPr>
                      <w:rFonts w:ascii="Times New Roman" w:hAnsi="Times New Roman"/>
                      <w:snapToGrid w:val="0"/>
                      <w:color w:val="auto"/>
                      <w:szCs w:val="21"/>
                      <w:highlight w:val="none"/>
                      <w:vertAlign w:val="subscript"/>
                    </w:rPr>
                    <w:t>10</w:t>
                  </w:r>
                </w:p>
              </w:tc>
              <w:tc>
                <w:tcPr>
                  <w:tcW w:w="12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3.952 </w:t>
                  </w:r>
                </w:p>
              </w:tc>
              <w:tc>
                <w:tcPr>
                  <w:tcW w:w="11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0.499 </w:t>
                  </w:r>
                </w:p>
              </w:tc>
              <w:tc>
                <w:tcPr>
                  <w:tcW w:w="1096" w:type="pct"/>
                  <w:vMerge w:val="continue"/>
                  <w:vAlign w:val="center"/>
                </w:tcPr>
                <w:p>
                  <w:pPr>
                    <w:pStyle w:val="39"/>
                    <w:spacing w:line="300" w:lineRule="exact"/>
                    <w:rPr>
                      <w:rFonts w:hint="default" w:ascii="Times New Roman" w:hAnsi="Times New Roman" w:eastAsia="宋体" w:cs="Times New Roman"/>
                      <w:color w:val="auto"/>
                      <w:highlight w:val="none"/>
                      <w:lang w:val="en-US" w:eastAsia="zh-CN"/>
                    </w:rPr>
                  </w:pPr>
                </w:p>
              </w:tc>
              <w:tc>
                <w:tcPr>
                  <w:tcW w:w="84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9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bl>
          <w:p>
            <w:pPr>
              <w:pStyle w:val="32"/>
              <w:ind w:firstLine="480"/>
              <w:rPr>
                <w:rFonts w:hint="default" w:ascii="Times New Roman" w:hAnsi="Times New Roman" w:eastAsia="宋体" w:cs="Times New Roman"/>
                <w:color w:val="auto"/>
                <w:highlight w:val="none"/>
                <w:lang w:val="en-US" w:eastAsia="zh-CN"/>
              </w:rPr>
            </w:pPr>
          </w:p>
          <w:p>
            <w:pPr>
              <w:pStyle w:val="32"/>
              <w:ind w:firstLine="480"/>
              <w:rPr>
                <w:rFonts w:hint="eastAsia" w:eastAsia="宋体"/>
                <w:color w:val="auto"/>
                <w:spacing w:val="-5"/>
                <w:highlight w:val="none"/>
                <w:lang w:eastAsia="zh-CN"/>
              </w:rPr>
            </w:pPr>
            <w:r>
              <w:rPr>
                <w:rFonts w:hint="eastAsia"/>
                <w:color w:val="auto"/>
                <w:szCs w:val="21"/>
                <w:highlight w:val="none"/>
              </w:rPr>
              <w:fldChar w:fldCharType="begin"/>
            </w:r>
            <w:r>
              <w:rPr>
                <w:rFonts w:hint="eastAsia"/>
                <w:color w:val="auto"/>
                <w:szCs w:val="21"/>
                <w:highlight w:val="none"/>
              </w:rPr>
              <w:instrText xml:space="preserve"> = 4 \* GB3 \* MERGEFORMAT </w:instrText>
            </w:r>
            <w:r>
              <w:rPr>
                <w:rFonts w:hint="eastAsia"/>
                <w:color w:val="auto"/>
                <w:szCs w:val="21"/>
                <w:highlight w:val="none"/>
              </w:rPr>
              <w:fldChar w:fldCharType="separate"/>
            </w:r>
            <w:r>
              <w:rPr>
                <w:color w:val="auto"/>
                <w:highlight w:val="none"/>
              </w:rPr>
              <w:t>④</w:t>
            </w:r>
            <w:r>
              <w:rPr>
                <w:rFonts w:hint="eastAsia"/>
                <w:color w:val="auto"/>
                <w:szCs w:val="21"/>
                <w:highlight w:val="none"/>
              </w:rPr>
              <w:fldChar w:fldCharType="end"/>
            </w:r>
            <w:r>
              <w:rPr>
                <w:rFonts w:hint="eastAsia"/>
                <w:color w:val="auto"/>
                <w:spacing w:val="-5"/>
                <w:highlight w:val="none"/>
              </w:rPr>
              <w:t>配</w:t>
            </w:r>
            <w:r>
              <w:rPr>
                <w:rFonts w:hint="eastAsia"/>
                <w:color w:val="auto"/>
                <w:spacing w:val="-5"/>
                <w:highlight w:val="none"/>
                <w:lang w:val="en-US" w:eastAsia="zh-CN"/>
              </w:rPr>
              <w:t>矿</w:t>
            </w:r>
            <w:r>
              <w:rPr>
                <w:rFonts w:hint="eastAsia"/>
                <w:color w:val="auto"/>
                <w:spacing w:val="-5"/>
                <w:highlight w:val="none"/>
              </w:rPr>
              <w:t>粉尘</w:t>
            </w:r>
          </w:p>
          <w:p>
            <w:pPr>
              <w:pStyle w:val="32"/>
              <w:ind w:firstLine="460"/>
              <w:rPr>
                <w:color w:val="auto"/>
                <w:spacing w:val="-5"/>
                <w:highlight w:val="none"/>
              </w:rPr>
            </w:pPr>
            <w:r>
              <w:rPr>
                <w:color w:val="auto"/>
                <w:spacing w:val="-5"/>
                <w:highlight w:val="none"/>
              </w:rPr>
              <w:t>配</w:t>
            </w:r>
            <w:r>
              <w:rPr>
                <w:rFonts w:hint="eastAsia"/>
                <w:color w:val="auto"/>
                <w:spacing w:val="-5"/>
                <w:highlight w:val="none"/>
                <w:lang w:val="en-US" w:eastAsia="zh-CN"/>
              </w:rPr>
              <w:t>矿</w:t>
            </w:r>
            <w:r>
              <w:rPr>
                <w:color w:val="auto"/>
                <w:spacing w:val="-5"/>
                <w:highlight w:val="none"/>
              </w:rPr>
              <w:t>工序上料及落料过程中产生一定粉尘，参照《逸散性粉尘控制技术》其中上料过程中产生的粉尘量为0.0029kg/t-料，落料过程中产生的粉尘量为0.01kg/t-料，</w:t>
            </w:r>
            <w:r>
              <w:rPr>
                <w:rFonts w:hint="eastAsia"/>
                <w:color w:val="auto"/>
                <w:spacing w:val="-5"/>
                <w:highlight w:val="none"/>
                <w:lang w:val="en-US" w:eastAsia="zh-CN"/>
              </w:rPr>
              <w:t>进入配矿工序的</w:t>
            </w:r>
            <w:r>
              <w:rPr>
                <w:color w:val="auto"/>
                <w:spacing w:val="-5"/>
                <w:highlight w:val="none"/>
              </w:rPr>
              <w:t>铜精矿</w:t>
            </w:r>
            <w:r>
              <w:rPr>
                <w:rFonts w:hint="eastAsia"/>
                <w:color w:val="auto"/>
                <w:spacing w:val="-5"/>
                <w:highlight w:val="none"/>
              </w:rPr>
              <w:t>约</w:t>
            </w:r>
            <w:r>
              <w:rPr>
                <w:rFonts w:hint="eastAsia"/>
                <w:color w:val="auto"/>
                <w:spacing w:val="-5"/>
                <w:highlight w:val="none"/>
                <w:lang w:val="en-US" w:eastAsia="zh-CN"/>
              </w:rPr>
              <w:t>1010711.266</w:t>
            </w:r>
            <w:r>
              <w:rPr>
                <w:color w:val="auto"/>
                <w:spacing w:val="-5"/>
                <w:highlight w:val="none"/>
              </w:rPr>
              <w:t>t/a</w:t>
            </w:r>
            <w:r>
              <w:rPr>
                <w:rFonts w:hint="eastAsia"/>
                <w:color w:val="auto"/>
                <w:spacing w:val="-5"/>
                <w:highlight w:val="none"/>
                <w:lang w:eastAsia="zh-CN"/>
              </w:rPr>
              <w:t>（</w:t>
            </w:r>
            <w:r>
              <w:rPr>
                <w:rFonts w:hint="eastAsia"/>
                <w:color w:val="auto"/>
                <w:spacing w:val="-5"/>
                <w:highlight w:val="none"/>
                <w:lang w:val="en-US" w:eastAsia="zh-CN"/>
              </w:rPr>
              <w:t>喷雾抑尘过程含水量增加3599.64t/a</w:t>
            </w:r>
            <w:r>
              <w:rPr>
                <w:rFonts w:hint="eastAsia"/>
                <w:color w:val="auto"/>
                <w:spacing w:val="-5"/>
                <w:highlight w:val="none"/>
                <w:lang w:eastAsia="zh-CN"/>
              </w:rPr>
              <w:t>）</w:t>
            </w:r>
            <w:r>
              <w:rPr>
                <w:color w:val="auto"/>
                <w:spacing w:val="-5"/>
                <w:highlight w:val="none"/>
              </w:rPr>
              <w:t>，本项目配料工序产生的粉尘量合计为</w:t>
            </w:r>
            <w:r>
              <w:rPr>
                <w:rFonts w:hint="eastAsia"/>
                <w:color w:val="auto"/>
                <w:spacing w:val="-5"/>
                <w:highlight w:val="none"/>
                <w:lang w:val="en-US" w:eastAsia="zh-CN"/>
              </w:rPr>
              <w:t>13.038</w:t>
            </w:r>
            <w:r>
              <w:rPr>
                <w:color w:val="auto"/>
                <w:spacing w:val="-5"/>
                <w:highlight w:val="none"/>
              </w:rPr>
              <w:t>t/a。</w:t>
            </w:r>
          </w:p>
          <w:p>
            <w:pPr>
              <w:pStyle w:val="32"/>
              <w:ind w:firstLine="460"/>
              <w:rPr>
                <w:color w:val="auto"/>
                <w:spacing w:val="-5"/>
                <w:highlight w:val="none"/>
              </w:rPr>
            </w:pPr>
            <w:r>
              <w:rPr>
                <w:color w:val="auto"/>
                <w:spacing w:val="-5"/>
                <w:highlight w:val="none"/>
              </w:rPr>
              <w:t>本项目拟在</w:t>
            </w:r>
            <w:r>
              <w:rPr>
                <w:rFonts w:hint="eastAsia"/>
                <w:color w:val="auto"/>
                <w:spacing w:val="-5"/>
                <w:highlight w:val="none"/>
                <w:lang w:val="en-US" w:eastAsia="zh-CN"/>
              </w:rPr>
              <w:t>中间料仓</w:t>
            </w:r>
            <w:r>
              <w:rPr>
                <w:color w:val="auto"/>
                <w:spacing w:val="-5"/>
                <w:highlight w:val="none"/>
              </w:rPr>
              <w:t>开口（同时开启</w:t>
            </w:r>
            <w:r>
              <w:rPr>
                <w:rFonts w:hint="eastAsia"/>
                <w:color w:val="auto"/>
                <w:spacing w:val="-5"/>
                <w:highlight w:val="none"/>
                <w:lang w:val="en-US" w:eastAsia="zh-CN"/>
              </w:rPr>
              <w:t>3</w:t>
            </w:r>
            <w:r>
              <w:rPr>
                <w:color w:val="auto"/>
                <w:spacing w:val="-5"/>
                <w:highlight w:val="none"/>
              </w:rPr>
              <w:t>处）及底部电子皮带秤下料点处设</w:t>
            </w:r>
            <w:r>
              <w:rPr>
                <w:rFonts w:hint="eastAsia"/>
                <w:color w:val="auto"/>
                <w:spacing w:val="-5"/>
                <w:highlight w:val="none"/>
              </w:rPr>
              <w:t>干雾</w:t>
            </w:r>
            <w:r>
              <w:rPr>
                <w:color w:val="auto"/>
                <w:spacing w:val="-5"/>
                <w:highlight w:val="none"/>
              </w:rPr>
              <w:t>抑尘（同时开启</w:t>
            </w:r>
            <w:r>
              <w:rPr>
                <w:rFonts w:hint="eastAsia"/>
                <w:color w:val="auto"/>
                <w:spacing w:val="-5"/>
                <w:highlight w:val="none"/>
                <w:lang w:val="en-US" w:eastAsia="zh-CN"/>
              </w:rPr>
              <w:t>3</w:t>
            </w:r>
            <w:r>
              <w:rPr>
                <w:color w:val="auto"/>
                <w:spacing w:val="-5"/>
                <w:highlight w:val="none"/>
              </w:rPr>
              <w:t>处）</w:t>
            </w:r>
            <w:r>
              <w:rPr>
                <w:rFonts w:hint="eastAsia"/>
                <w:color w:val="auto"/>
                <w:spacing w:val="-5"/>
                <w:highlight w:val="none"/>
              </w:rPr>
              <w:t>，同时</w:t>
            </w:r>
            <w:r>
              <w:rPr>
                <w:color w:val="auto"/>
                <w:spacing w:val="-5"/>
                <w:highlight w:val="none"/>
              </w:rPr>
              <w:t>经车间内智能高压喷雾抑尘装置降尘后基本沉降在</w:t>
            </w:r>
            <w:r>
              <w:rPr>
                <w:rFonts w:hint="eastAsia"/>
                <w:color w:val="auto"/>
                <w:spacing w:val="-5"/>
                <w:highlight w:val="none"/>
                <w:lang w:eastAsia="zh-CN"/>
              </w:rPr>
              <w:t>封闭</w:t>
            </w:r>
            <w:r>
              <w:rPr>
                <w:color w:val="auto"/>
                <w:spacing w:val="-5"/>
                <w:highlight w:val="none"/>
              </w:rPr>
              <w:t>生产车间内，</w:t>
            </w:r>
            <w:r>
              <w:rPr>
                <w:rFonts w:hint="eastAsia"/>
                <w:color w:val="auto"/>
                <w:spacing w:val="-5"/>
                <w:highlight w:val="none"/>
                <w:lang w:val="en-US" w:eastAsia="zh-CN"/>
              </w:rPr>
              <w:t>在封闭仓库内配矿，中间料仓四周有围挡，</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hint="eastAsia"/>
                <w:color w:val="auto"/>
                <w:spacing w:val="-5"/>
                <w:highlight w:val="none"/>
              </w:rPr>
              <w:t>，</w:t>
            </w:r>
            <w:r>
              <w:rPr>
                <w:color w:val="auto"/>
                <w:spacing w:val="-5"/>
                <w:highlight w:val="none"/>
              </w:rPr>
              <w:t>则</w:t>
            </w:r>
            <w:r>
              <w:rPr>
                <w:rFonts w:hint="eastAsia"/>
                <w:color w:val="auto"/>
                <w:spacing w:val="-5"/>
                <w:highlight w:val="none"/>
              </w:rPr>
              <w:t>配</w:t>
            </w:r>
            <w:r>
              <w:rPr>
                <w:rFonts w:hint="eastAsia"/>
                <w:color w:val="auto"/>
                <w:spacing w:val="-5"/>
                <w:highlight w:val="none"/>
                <w:lang w:val="en-US" w:eastAsia="zh-CN"/>
              </w:rPr>
              <w:t>矿</w:t>
            </w:r>
            <w:r>
              <w:rPr>
                <w:rFonts w:hint="eastAsia"/>
                <w:color w:val="auto"/>
                <w:spacing w:val="-5"/>
                <w:highlight w:val="none"/>
              </w:rPr>
              <w:t>过程粉尘</w:t>
            </w:r>
            <w:r>
              <w:rPr>
                <w:color w:val="auto"/>
                <w:spacing w:val="-5"/>
                <w:highlight w:val="none"/>
              </w:rPr>
              <w:t>无组织排放量为0.</w:t>
            </w:r>
            <w:r>
              <w:rPr>
                <w:rFonts w:hint="eastAsia"/>
                <w:color w:val="auto"/>
                <w:spacing w:val="-5"/>
                <w:highlight w:val="none"/>
                <w:lang w:val="en-US" w:eastAsia="zh-CN"/>
              </w:rPr>
              <w:t>034</w:t>
            </w:r>
            <w:r>
              <w:rPr>
                <w:color w:val="auto"/>
                <w:spacing w:val="-5"/>
                <w:highlight w:val="none"/>
              </w:rPr>
              <w:t>t/a。</w:t>
            </w:r>
          </w:p>
          <w:p>
            <w:pPr>
              <w:pStyle w:val="32"/>
              <w:ind w:firstLine="480"/>
              <w:rPr>
                <w:color w:val="auto"/>
                <w:spacing w:val="-5"/>
                <w:highlight w:val="none"/>
              </w:rPr>
            </w:pPr>
            <w:r>
              <w:rPr>
                <w:rFonts w:hint="eastAsia"/>
                <w:color w:val="auto"/>
                <w:szCs w:val="21"/>
                <w:highlight w:val="none"/>
              </w:rPr>
              <w:fldChar w:fldCharType="begin"/>
            </w:r>
            <w:r>
              <w:rPr>
                <w:rFonts w:hint="eastAsia"/>
                <w:color w:val="auto"/>
                <w:szCs w:val="21"/>
                <w:highlight w:val="none"/>
              </w:rPr>
              <w:instrText xml:space="preserve"> = 5 \* GB3 \* MERGEFORMAT </w:instrText>
            </w:r>
            <w:r>
              <w:rPr>
                <w:rFonts w:hint="eastAsia"/>
                <w:color w:val="auto"/>
                <w:szCs w:val="21"/>
                <w:highlight w:val="none"/>
              </w:rPr>
              <w:fldChar w:fldCharType="separate"/>
            </w:r>
            <w:r>
              <w:rPr>
                <w:color w:val="auto"/>
                <w:highlight w:val="none"/>
              </w:rPr>
              <w:t>⑤</w:t>
            </w:r>
            <w:r>
              <w:rPr>
                <w:rFonts w:hint="eastAsia"/>
                <w:color w:val="auto"/>
                <w:szCs w:val="21"/>
                <w:highlight w:val="none"/>
              </w:rPr>
              <w:fldChar w:fldCharType="end"/>
            </w:r>
            <w:r>
              <w:rPr>
                <w:rFonts w:hint="eastAsia"/>
                <w:color w:val="auto"/>
                <w:spacing w:val="-5"/>
                <w:highlight w:val="none"/>
              </w:rPr>
              <w:t>混矿</w:t>
            </w:r>
            <w:r>
              <w:rPr>
                <w:color w:val="auto"/>
                <w:spacing w:val="-5"/>
                <w:highlight w:val="none"/>
              </w:rPr>
              <w:t>上料及落料</w:t>
            </w:r>
          </w:p>
          <w:p>
            <w:pPr>
              <w:pStyle w:val="32"/>
              <w:ind w:firstLine="460"/>
              <w:rPr>
                <w:color w:val="auto"/>
                <w:spacing w:val="-5"/>
                <w:highlight w:val="none"/>
              </w:rPr>
            </w:pPr>
            <w:r>
              <w:rPr>
                <w:color w:val="auto"/>
                <w:spacing w:val="-5"/>
                <w:highlight w:val="none"/>
              </w:rPr>
              <w:t>项目混矿过程</w:t>
            </w:r>
            <w:r>
              <w:rPr>
                <w:rFonts w:hint="eastAsia"/>
                <w:color w:val="auto"/>
                <w:spacing w:val="-5"/>
                <w:highlight w:val="none"/>
                <w:lang w:eastAsia="zh-CN"/>
              </w:rPr>
              <w:t>封闭</w:t>
            </w:r>
            <w:r>
              <w:rPr>
                <w:color w:val="auto"/>
                <w:spacing w:val="-5"/>
                <w:highlight w:val="none"/>
              </w:rPr>
              <w:t>，</w:t>
            </w:r>
            <w:r>
              <w:rPr>
                <w:rFonts w:hint="eastAsia"/>
                <w:color w:val="auto"/>
                <w:spacing w:val="-5"/>
                <w:highlight w:val="none"/>
                <w:lang w:val="en-US" w:eastAsia="zh-CN"/>
              </w:rPr>
              <w:t>配矿后的混料由S-10原料矿带式输送机(东西向)落料至圆筒混料机，混矿完成后上料至</w:t>
            </w:r>
            <w:r>
              <w:rPr>
                <w:rFonts w:hint="eastAsia"/>
                <w:color w:val="auto"/>
                <w:sz w:val="24"/>
                <w:highlight w:val="none"/>
                <w:lang w:val="en-US" w:eastAsia="zh-CN"/>
              </w:rPr>
              <w:t>S-7混料仓带式输送机(东西向)，落料和上料</w:t>
            </w:r>
            <w:r>
              <w:rPr>
                <w:color w:val="auto"/>
                <w:spacing w:val="-5"/>
                <w:highlight w:val="none"/>
              </w:rPr>
              <w:t>过程中产生粉尘，参照《逸散性粉尘控制技术》，其中上料过程中产生的粉尘量为0.0029kg/t-料，落料过程中产生的粉尘量为0.01kg/t-料，本项目设置</w:t>
            </w:r>
            <w:r>
              <w:rPr>
                <w:rFonts w:hint="eastAsia"/>
                <w:color w:val="auto"/>
                <w:spacing w:val="-5"/>
                <w:highlight w:val="none"/>
              </w:rPr>
              <w:t>1</w:t>
            </w:r>
            <w:r>
              <w:rPr>
                <w:color w:val="auto"/>
                <w:spacing w:val="-5"/>
                <w:highlight w:val="none"/>
              </w:rPr>
              <w:t>条混矿生产线，采取</w:t>
            </w:r>
            <w:r>
              <w:rPr>
                <w:rFonts w:hint="eastAsia"/>
                <w:color w:val="auto"/>
                <w:spacing w:val="-5"/>
                <w:highlight w:val="none"/>
                <w:lang w:val="en-US" w:eastAsia="zh-CN"/>
              </w:rPr>
              <w:t>胶</w:t>
            </w:r>
            <w:r>
              <w:rPr>
                <w:rFonts w:hint="eastAsia"/>
                <w:color w:val="auto"/>
                <w:spacing w:val="-5"/>
                <w:highlight w:val="none"/>
              </w:rPr>
              <w:t>带</w:t>
            </w:r>
            <w:r>
              <w:rPr>
                <w:color w:val="auto"/>
                <w:spacing w:val="-5"/>
                <w:highlight w:val="none"/>
              </w:rPr>
              <w:t>输送，铜精矿混矿规模</w:t>
            </w:r>
            <w:r>
              <w:rPr>
                <w:rFonts w:hint="eastAsia"/>
                <w:color w:val="auto"/>
                <w:spacing w:val="-5"/>
                <w:highlight w:val="none"/>
              </w:rPr>
              <w:t>约</w:t>
            </w:r>
            <w:r>
              <w:rPr>
                <w:rFonts w:hint="eastAsia"/>
                <w:color w:val="auto"/>
                <w:spacing w:val="-5"/>
                <w:highlight w:val="none"/>
                <w:lang w:val="en-US" w:eastAsia="zh-CN"/>
              </w:rPr>
              <w:t>1014297.87</w:t>
            </w:r>
            <w:r>
              <w:rPr>
                <w:color w:val="auto"/>
                <w:spacing w:val="-5"/>
                <w:highlight w:val="none"/>
              </w:rPr>
              <w:t>t/a</w:t>
            </w:r>
            <w:r>
              <w:rPr>
                <w:rFonts w:hint="eastAsia"/>
                <w:color w:val="auto"/>
                <w:spacing w:val="-5"/>
                <w:highlight w:val="none"/>
                <w:lang w:eastAsia="zh-CN"/>
              </w:rPr>
              <w:t>（</w:t>
            </w:r>
            <w:r>
              <w:rPr>
                <w:rFonts w:hint="eastAsia"/>
                <w:color w:val="auto"/>
                <w:spacing w:val="-5"/>
                <w:highlight w:val="none"/>
                <w:lang w:val="en-US" w:eastAsia="zh-CN"/>
              </w:rPr>
              <w:t>喷雾抑尘过程含水量增加3599.64t/a</w:t>
            </w:r>
            <w:r>
              <w:rPr>
                <w:rFonts w:hint="eastAsia"/>
                <w:color w:val="auto"/>
                <w:spacing w:val="-5"/>
                <w:highlight w:val="none"/>
                <w:lang w:eastAsia="zh-CN"/>
              </w:rPr>
              <w:t>）</w:t>
            </w:r>
            <w:r>
              <w:rPr>
                <w:color w:val="auto"/>
                <w:spacing w:val="-5"/>
                <w:highlight w:val="none"/>
              </w:rPr>
              <w:t>，</w:t>
            </w:r>
            <w:r>
              <w:rPr>
                <w:rFonts w:hint="eastAsia"/>
                <w:color w:val="auto"/>
                <w:spacing w:val="-5"/>
                <w:highlight w:val="none"/>
              </w:rPr>
              <w:t>混矿</w:t>
            </w:r>
            <w:r>
              <w:rPr>
                <w:color w:val="auto"/>
                <w:spacing w:val="-5"/>
                <w:highlight w:val="none"/>
              </w:rPr>
              <w:t>上料及落料产生的粉尘量合计</w:t>
            </w:r>
            <w:r>
              <w:rPr>
                <w:rFonts w:hint="eastAsia"/>
                <w:color w:val="auto"/>
                <w:spacing w:val="-5"/>
                <w:highlight w:val="none"/>
              </w:rPr>
              <w:t>约</w:t>
            </w:r>
            <w:r>
              <w:rPr>
                <w:rFonts w:hint="eastAsia"/>
                <w:color w:val="auto"/>
                <w:spacing w:val="-5"/>
                <w:highlight w:val="none"/>
                <w:lang w:val="en-US" w:eastAsia="zh-CN"/>
              </w:rPr>
              <w:t>13.084</w:t>
            </w:r>
            <w:r>
              <w:rPr>
                <w:color w:val="auto"/>
                <w:spacing w:val="-5"/>
                <w:highlight w:val="none"/>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75</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4</w:t>
            </w:r>
            <w:r>
              <w:rPr>
                <w:rFonts w:hint="eastAsia"/>
                <w:color w:val="auto"/>
                <w:szCs w:val="21"/>
                <w:highlight w:val="none"/>
              </w:rPr>
              <w:t>）</w:t>
            </w:r>
            <w:r>
              <w:rPr>
                <w:color w:val="auto"/>
                <w:spacing w:val="-5"/>
                <w:highlight w:val="none"/>
              </w:rPr>
              <w:t>排放。</w:t>
            </w:r>
          </w:p>
          <w:p>
            <w:pPr>
              <w:pStyle w:val="32"/>
              <w:ind w:firstLine="460"/>
              <w:rPr>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1.311</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ascii="Times New Roman" w:hAnsi="Times New Roman" w:eastAsia="宋体" w:cs="Times New Roman"/>
                <w:color w:val="auto"/>
                <w:spacing w:val="-5"/>
                <w:highlight w:val="none"/>
              </w:rPr>
              <w:t>混矿</w:t>
            </w:r>
            <w:r>
              <w:rPr>
                <w:rFonts w:ascii="Times New Roman" w:hAnsi="Times New Roman" w:eastAsia="宋体" w:cs="Times New Roman"/>
                <w:color w:val="auto"/>
                <w:spacing w:val="-5"/>
                <w:highlight w:val="none"/>
              </w:rPr>
              <w:t>上料及落料无组织排放量为0.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pStyle w:val="32"/>
              <w:ind w:firstLine="480"/>
              <w:rPr>
                <w:color w:val="auto"/>
                <w:szCs w:val="21"/>
                <w:highlight w:val="none"/>
              </w:rPr>
            </w:pPr>
            <w:r>
              <w:rPr>
                <w:rFonts w:hint="eastAsia"/>
                <w:color w:val="auto"/>
                <w:szCs w:val="21"/>
                <w:highlight w:val="none"/>
              </w:rPr>
              <w:fldChar w:fldCharType="begin"/>
            </w:r>
            <w:r>
              <w:rPr>
                <w:rFonts w:hint="eastAsia"/>
                <w:color w:val="auto"/>
                <w:szCs w:val="21"/>
                <w:highlight w:val="none"/>
              </w:rPr>
              <w:instrText xml:space="preserve"> = 6 \* GB3 \* MERGEFORMAT </w:instrText>
            </w:r>
            <w:r>
              <w:rPr>
                <w:rFonts w:hint="eastAsia"/>
                <w:color w:val="auto"/>
                <w:szCs w:val="21"/>
                <w:highlight w:val="none"/>
              </w:rPr>
              <w:fldChar w:fldCharType="separate"/>
            </w:r>
            <w:r>
              <w:rPr>
                <w:color w:val="auto"/>
                <w:highlight w:val="none"/>
              </w:rPr>
              <w:t>⑥</w:t>
            </w:r>
            <w:r>
              <w:rPr>
                <w:rFonts w:hint="eastAsia"/>
                <w:color w:val="auto"/>
                <w:szCs w:val="21"/>
                <w:highlight w:val="none"/>
              </w:rPr>
              <w:fldChar w:fldCharType="end"/>
            </w:r>
            <w:r>
              <w:rPr>
                <w:rFonts w:hint="eastAsia"/>
                <w:color w:val="auto"/>
                <w:szCs w:val="21"/>
                <w:highlight w:val="none"/>
                <w:lang w:val="en-US" w:eastAsia="zh-CN"/>
              </w:rPr>
              <w:t>成品</w:t>
            </w:r>
            <w:r>
              <w:rPr>
                <w:rFonts w:hint="eastAsia"/>
                <w:color w:val="auto"/>
                <w:szCs w:val="21"/>
                <w:highlight w:val="none"/>
              </w:rPr>
              <w:t>输送粉尘</w:t>
            </w:r>
          </w:p>
          <w:p>
            <w:pPr>
              <w:pStyle w:val="32"/>
              <w:ind w:firstLine="480"/>
              <w:rPr>
                <w:rFonts w:hint="eastAsia"/>
                <w:color w:val="auto"/>
                <w:sz w:val="24"/>
                <w:highlight w:val="none"/>
                <w:lang w:val="en-US" w:eastAsia="zh-CN"/>
              </w:rPr>
            </w:pPr>
            <w:r>
              <w:rPr>
                <w:rFonts w:hint="eastAsia"/>
                <w:color w:val="auto"/>
                <w:sz w:val="24"/>
                <w:highlight w:val="none"/>
                <w:lang w:val="en-US" w:eastAsia="zh-CN"/>
              </w:rPr>
              <w:t>成品矿</w:t>
            </w:r>
            <w:r>
              <w:rPr>
                <w:color w:val="auto"/>
                <w:spacing w:val="-5"/>
                <w:highlight w:val="none"/>
              </w:rPr>
              <w:t>落料</w:t>
            </w:r>
            <w:r>
              <w:rPr>
                <w:rFonts w:hint="eastAsia"/>
                <w:color w:val="auto"/>
                <w:spacing w:val="-5"/>
                <w:highlight w:val="none"/>
                <w:lang w:val="en-US" w:eastAsia="zh-CN"/>
              </w:rPr>
              <w:t>至</w:t>
            </w:r>
            <w:r>
              <w:rPr>
                <w:rFonts w:hint="eastAsia"/>
                <w:color w:val="auto"/>
                <w:sz w:val="24"/>
                <w:highlight w:val="none"/>
                <w:lang w:val="en-US" w:eastAsia="zh-CN"/>
              </w:rPr>
              <w:t>S-7混料仓带式输送机(东西向)后，再经S-8混料仓带式输送机(南北向)输送至S-5成品矿布料带式输送机(东西向)后通过S-16横向布料机将成品矿均匀布料至3个成品矿堆放区。</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A.S-7混料仓带式输送机(东西向)卸料粉尘</w:t>
            </w:r>
          </w:p>
          <w:p>
            <w:pPr>
              <w:spacing w:line="360" w:lineRule="auto"/>
              <w:ind w:firstLine="480" w:firstLineChars="200"/>
              <w:rPr>
                <w:rFonts w:hint="default" w:eastAsia="宋体"/>
                <w:color w:val="auto"/>
                <w:sz w:val="24"/>
                <w:highlight w:val="none"/>
                <w:lang w:val="en-US" w:eastAsia="zh-CN"/>
              </w:rPr>
            </w:pPr>
            <w:r>
              <w:rPr>
                <w:rFonts w:hint="default" w:eastAsia="宋体"/>
                <w:color w:val="auto"/>
                <w:sz w:val="24"/>
                <w:highlight w:val="none"/>
                <w:lang w:val="en-US" w:eastAsia="zh-CN"/>
              </w:rPr>
              <w:t>参照《逸散性粉尘控制技术》，落料过程中产生的粉尘量为0.01kg/t-料，</w:t>
            </w:r>
            <w:r>
              <w:rPr>
                <w:rFonts w:hint="eastAsia" w:eastAsia="宋体"/>
                <w:color w:val="auto"/>
                <w:sz w:val="24"/>
                <w:highlight w:val="none"/>
                <w:lang w:val="en-US" w:eastAsia="zh-CN"/>
              </w:rPr>
              <w:t>S-7混料仓带式输送机(东西向)</w:t>
            </w:r>
            <w:r>
              <w:rPr>
                <w:rFonts w:hint="default" w:eastAsia="宋体"/>
                <w:color w:val="auto"/>
                <w:sz w:val="24"/>
                <w:highlight w:val="none"/>
                <w:lang w:val="en-US" w:eastAsia="zh-CN"/>
              </w:rPr>
              <w:t>输送</w:t>
            </w:r>
            <w:r>
              <w:rPr>
                <w:rFonts w:hint="eastAsia" w:eastAsia="宋体"/>
                <w:color w:val="auto"/>
                <w:sz w:val="24"/>
                <w:highlight w:val="none"/>
                <w:lang w:val="en-US" w:eastAsia="zh-CN"/>
              </w:rPr>
              <w:t>成品</w:t>
            </w:r>
            <w:r>
              <w:rPr>
                <w:rFonts w:hint="default" w:eastAsia="宋体"/>
                <w:color w:val="auto"/>
                <w:sz w:val="24"/>
                <w:highlight w:val="none"/>
                <w:lang w:val="en-US" w:eastAsia="zh-CN"/>
              </w:rPr>
              <w:t>铜精矿规模</w:t>
            </w:r>
            <w:r>
              <w:rPr>
                <w:rFonts w:hint="eastAsia" w:eastAsia="宋体"/>
                <w:color w:val="auto"/>
                <w:sz w:val="24"/>
                <w:highlight w:val="none"/>
                <w:lang w:val="en-US" w:eastAsia="zh-CN"/>
              </w:rPr>
              <w:t>1014284.78</w:t>
            </w:r>
            <w:r>
              <w:rPr>
                <w:rFonts w:hint="default" w:eastAsia="宋体"/>
                <w:color w:val="auto"/>
                <w:sz w:val="24"/>
                <w:highlight w:val="none"/>
                <w:lang w:val="en-US" w:eastAsia="zh-CN"/>
              </w:rPr>
              <w:t>t/a，卸料产生的粉尘量</w:t>
            </w:r>
            <w:r>
              <w:rPr>
                <w:rFonts w:hint="eastAsia" w:eastAsia="宋体"/>
                <w:color w:val="auto"/>
                <w:sz w:val="24"/>
                <w:highlight w:val="none"/>
                <w:lang w:val="en-US" w:eastAsia="zh-CN"/>
              </w:rPr>
              <w:t>约10.143</w:t>
            </w:r>
            <w:r>
              <w:rPr>
                <w:rFonts w:hint="default" w:eastAsia="宋体"/>
                <w:color w:val="auto"/>
                <w:sz w:val="24"/>
                <w:highlight w:val="none"/>
                <w:lang w:val="en-US" w:eastAsia="zh-CN"/>
              </w:rPr>
              <w:t>t/a。</w:t>
            </w:r>
          </w:p>
          <w:p>
            <w:pPr>
              <w:spacing w:line="360" w:lineRule="auto"/>
              <w:ind w:firstLine="480" w:firstLineChars="200"/>
              <w:rPr>
                <w:rFonts w:hint="default" w:eastAsia="宋体"/>
                <w:color w:val="auto"/>
                <w:sz w:val="24"/>
                <w:highlight w:val="none"/>
                <w:lang w:val="en-US" w:eastAsia="zh-CN"/>
              </w:rPr>
            </w:pPr>
            <w:r>
              <w:rPr>
                <w:rFonts w:hint="default" w:eastAsia="宋体"/>
                <w:color w:val="auto"/>
                <w:sz w:val="24"/>
                <w:highlight w:val="none"/>
                <w:lang w:val="en-US" w:eastAsia="zh-CN"/>
              </w:rPr>
              <w:t>拟在</w:t>
            </w:r>
            <w:r>
              <w:rPr>
                <w:rFonts w:hint="eastAsia" w:eastAsia="宋体"/>
                <w:color w:val="auto"/>
                <w:sz w:val="24"/>
                <w:highlight w:val="none"/>
                <w:lang w:val="en-US" w:eastAsia="zh-CN"/>
              </w:rPr>
              <w:t>胶带头部卸料点</w:t>
            </w:r>
            <w:r>
              <w:rPr>
                <w:rFonts w:hint="default" w:eastAsia="宋体"/>
                <w:color w:val="auto"/>
                <w:sz w:val="24"/>
                <w:highlight w:val="none"/>
                <w:lang w:val="en-US" w:eastAsia="zh-CN"/>
              </w:rPr>
              <w:t>设置</w:t>
            </w:r>
            <w:r>
              <w:rPr>
                <w:rFonts w:hint="eastAsia" w:eastAsia="宋体"/>
                <w:color w:val="auto"/>
                <w:sz w:val="24"/>
                <w:highlight w:val="none"/>
                <w:lang w:val="en-US" w:eastAsia="zh-CN"/>
              </w:rPr>
              <w:t>局部抽风，</w:t>
            </w:r>
            <w:r>
              <w:rPr>
                <w:rFonts w:hint="default" w:eastAsia="宋体"/>
                <w:color w:val="auto"/>
                <w:sz w:val="24"/>
                <w:highlight w:val="none"/>
                <w:lang w:val="en-US" w:eastAsia="zh-CN"/>
              </w:rPr>
              <w:t>对粉尘进行负压收集，</w:t>
            </w:r>
            <w:r>
              <w:rPr>
                <w:rFonts w:hint="eastAsia" w:eastAsia="宋体"/>
                <w:color w:val="auto"/>
                <w:sz w:val="24"/>
                <w:highlight w:val="none"/>
                <w:lang w:val="en-US" w:eastAsia="zh-CN"/>
              </w:rPr>
              <w:t>离心</w:t>
            </w:r>
            <w:r>
              <w:rPr>
                <w:rFonts w:hint="default" w:eastAsia="宋体"/>
                <w:color w:val="auto"/>
                <w:sz w:val="24"/>
                <w:highlight w:val="none"/>
                <w:lang w:val="en-US" w:eastAsia="zh-CN"/>
              </w:rPr>
              <w:t>风机总风量</w:t>
            </w:r>
            <w:r>
              <w:rPr>
                <w:rFonts w:hint="eastAsia" w:eastAsia="宋体"/>
                <w:color w:val="auto"/>
                <w:sz w:val="24"/>
                <w:highlight w:val="none"/>
                <w:lang w:val="en-US" w:eastAsia="zh-CN"/>
              </w:rPr>
              <w:t>75</w:t>
            </w:r>
            <w:r>
              <w:rPr>
                <w:rFonts w:hint="default" w:eastAsia="宋体"/>
                <w:color w:val="auto"/>
                <w:sz w:val="24"/>
                <w:highlight w:val="none"/>
                <w:lang w:val="en-US" w:eastAsia="zh-CN"/>
              </w:rPr>
              <w:t>000Nm</w:t>
            </w:r>
            <w:r>
              <w:rPr>
                <w:rFonts w:hint="default" w:eastAsia="宋体"/>
                <w:color w:val="auto"/>
                <w:sz w:val="24"/>
                <w:highlight w:val="none"/>
                <w:vertAlign w:val="superscript"/>
                <w:lang w:val="en-US" w:eastAsia="zh-CN"/>
              </w:rPr>
              <w:t>3</w:t>
            </w:r>
            <w:r>
              <w:rPr>
                <w:rFonts w:hint="default" w:eastAsia="宋体"/>
                <w:color w:val="auto"/>
                <w:sz w:val="24"/>
                <w:highlight w:val="none"/>
                <w:lang w:val="en-US" w:eastAsia="zh-CN"/>
              </w:rPr>
              <w:t>/h，粉尘收集效率为90%，收集后进入塑烧板除尘器</w:t>
            </w:r>
            <w:r>
              <w:rPr>
                <w:rFonts w:hint="eastAsia" w:eastAsia="宋体"/>
                <w:color w:val="auto"/>
                <w:sz w:val="24"/>
                <w:highlight w:val="none"/>
                <w:lang w:val="en-US" w:eastAsia="zh-CN"/>
              </w:rPr>
              <w:t>处理，</w:t>
            </w:r>
            <w:r>
              <w:rPr>
                <w:rFonts w:hint="default" w:eastAsia="宋体"/>
                <w:color w:val="auto"/>
                <w:sz w:val="24"/>
                <w:highlight w:val="none"/>
                <w:lang w:val="en-US" w:eastAsia="zh-CN"/>
              </w:rPr>
              <w:t>除尘效率</w:t>
            </w:r>
            <w:r>
              <w:rPr>
                <w:rFonts w:hint="eastAsia" w:eastAsia="宋体"/>
                <w:color w:val="auto"/>
                <w:sz w:val="24"/>
                <w:highlight w:val="none"/>
                <w:lang w:val="en-US" w:eastAsia="zh-CN"/>
              </w:rPr>
              <w:t>取</w:t>
            </w:r>
            <w:r>
              <w:rPr>
                <w:rFonts w:hint="default" w:eastAsia="宋体"/>
                <w:color w:val="auto"/>
                <w:sz w:val="24"/>
                <w:highlight w:val="none"/>
                <w:lang w:val="en-US" w:eastAsia="zh-CN"/>
              </w:rPr>
              <w:t>99</w:t>
            </w:r>
            <w:r>
              <w:rPr>
                <w:rFonts w:hint="eastAsia" w:eastAsia="宋体"/>
                <w:color w:val="auto"/>
                <w:sz w:val="24"/>
                <w:highlight w:val="none"/>
                <w:lang w:val="en-US" w:eastAsia="zh-CN"/>
              </w:rPr>
              <w:t>.5</w:t>
            </w:r>
            <w:r>
              <w:rPr>
                <w:rFonts w:hint="default" w:eastAsia="宋体"/>
                <w:color w:val="auto"/>
                <w:sz w:val="24"/>
                <w:highlight w:val="none"/>
                <w:lang w:val="en-US" w:eastAsia="zh-CN"/>
              </w:rPr>
              <w:t>%</w:t>
            </w:r>
            <w:r>
              <w:rPr>
                <w:rFonts w:hint="eastAsia" w:eastAsia="宋体"/>
                <w:color w:val="auto"/>
                <w:sz w:val="24"/>
                <w:highlight w:val="none"/>
                <w:lang w:val="en-US" w:eastAsia="zh-CN"/>
              </w:rPr>
              <w:t>，最后</w:t>
            </w:r>
            <w:r>
              <w:rPr>
                <w:rFonts w:hint="default" w:eastAsia="宋体"/>
                <w:color w:val="auto"/>
                <w:sz w:val="24"/>
                <w:highlight w:val="none"/>
                <w:lang w:val="en-US" w:eastAsia="zh-CN"/>
              </w:rPr>
              <w:t>通过15m高排</w:t>
            </w:r>
            <w:r>
              <w:rPr>
                <w:rFonts w:hint="eastAsia" w:eastAsia="宋体"/>
                <w:color w:val="auto"/>
                <w:sz w:val="24"/>
                <w:highlight w:val="none"/>
                <w:lang w:val="en-US" w:eastAsia="zh-CN"/>
              </w:rPr>
              <w:t>气筒（DA004）</w:t>
            </w:r>
            <w:r>
              <w:rPr>
                <w:rFonts w:hint="default" w:eastAsia="宋体"/>
                <w:color w:val="auto"/>
                <w:sz w:val="24"/>
                <w:highlight w:val="none"/>
                <w:lang w:val="en-US" w:eastAsia="zh-CN"/>
              </w:rPr>
              <w:t>排放。</w:t>
            </w:r>
          </w:p>
          <w:p>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未经收集的</w:t>
            </w:r>
            <w:r>
              <w:rPr>
                <w:rFonts w:hint="default" w:eastAsia="宋体"/>
                <w:color w:val="auto"/>
                <w:sz w:val="24"/>
                <w:highlight w:val="none"/>
                <w:lang w:val="en-US" w:eastAsia="zh-CN"/>
              </w:rPr>
              <w:t>粉尘</w:t>
            </w:r>
            <w:r>
              <w:rPr>
                <w:rFonts w:hint="eastAsia" w:eastAsia="宋体"/>
                <w:color w:val="auto"/>
                <w:sz w:val="24"/>
                <w:highlight w:val="none"/>
                <w:lang w:val="en-US" w:eastAsia="zh-CN"/>
              </w:rPr>
              <w:t>（1.014t/a）</w:t>
            </w:r>
            <w:r>
              <w:rPr>
                <w:rFonts w:hint="default" w:eastAsia="宋体"/>
                <w:color w:val="auto"/>
                <w:sz w:val="24"/>
                <w:highlight w:val="none"/>
                <w:lang w:val="en-US" w:eastAsia="zh-CN"/>
              </w:rPr>
              <w:t>经</w:t>
            </w:r>
            <w:r>
              <w:rPr>
                <w:rFonts w:hint="eastAsia" w:eastAsia="宋体"/>
                <w:color w:val="auto"/>
                <w:sz w:val="24"/>
                <w:highlight w:val="none"/>
                <w:lang w:val="en-US" w:eastAsia="zh-CN"/>
              </w:rPr>
              <w:t>混矿库</w:t>
            </w:r>
            <w:r>
              <w:rPr>
                <w:rFonts w:hint="default" w:eastAsia="宋体"/>
                <w:color w:val="auto"/>
                <w:sz w:val="24"/>
                <w:highlight w:val="none"/>
                <w:lang w:val="en-US" w:eastAsia="zh-CN"/>
              </w:rPr>
              <w:t>车间内</w:t>
            </w:r>
            <w:r>
              <w:rPr>
                <w:rFonts w:hint="eastAsia" w:eastAsia="宋体"/>
                <w:color w:val="auto"/>
                <w:sz w:val="24"/>
                <w:highlight w:val="none"/>
                <w:lang w:val="en-US" w:eastAsia="zh-CN"/>
              </w:rPr>
              <w:t>智能高压喷雾抑尘装置</w:t>
            </w:r>
            <w:r>
              <w:rPr>
                <w:rFonts w:hint="default" w:eastAsia="宋体"/>
                <w:color w:val="auto"/>
                <w:sz w:val="24"/>
                <w:highlight w:val="none"/>
                <w:lang w:val="en-US" w:eastAsia="zh-CN"/>
              </w:rPr>
              <w:t>降尘后沉降在</w:t>
            </w:r>
            <w:r>
              <w:rPr>
                <w:rFonts w:hint="eastAsia"/>
                <w:color w:val="auto"/>
                <w:sz w:val="24"/>
                <w:highlight w:val="none"/>
                <w:lang w:val="en-US" w:eastAsia="zh-CN"/>
              </w:rPr>
              <w:t>封闭</w:t>
            </w:r>
            <w:r>
              <w:rPr>
                <w:rFonts w:hint="default" w:eastAsia="宋体"/>
                <w:color w:val="auto"/>
                <w:sz w:val="24"/>
                <w:highlight w:val="none"/>
                <w:lang w:val="en-US" w:eastAsia="zh-CN"/>
              </w:rPr>
              <w:t>生产车间内，</w:t>
            </w:r>
            <w:r>
              <w:rPr>
                <w:rFonts w:hint="eastAsia" w:eastAsia="宋体"/>
                <w:color w:val="auto"/>
                <w:sz w:val="24"/>
                <w:highlight w:val="none"/>
                <w:lang w:val="en-US" w:eastAsia="zh-CN"/>
              </w:rPr>
              <w:t>抑尘率99.74%</w:t>
            </w:r>
            <w:r>
              <w:rPr>
                <w:rFonts w:hint="default" w:eastAsia="宋体"/>
                <w:color w:val="auto"/>
                <w:sz w:val="24"/>
                <w:highlight w:val="none"/>
                <w:lang w:val="en-US" w:eastAsia="zh-CN"/>
              </w:rPr>
              <w:t>，则</w:t>
            </w:r>
            <w:r>
              <w:rPr>
                <w:rFonts w:hint="eastAsia" w:eastAsia="宋体"/>
                <w:color w:val="auto"/>
                <w:sz w:val="24"/>
                <w:highlight w:val="none"/>
                <w:lang w:val="en-US" w:eastAsia="zh-CN"/>
              </w:rPr>
              <w:t>S-7混料仓带式输送机(东西向)卸料粉尘</w:t>
            </w:r>
            <w:r>
              <w:rPr>
                <w:rFonts w:hint="default" w:eastAsia="宋体"/>
                <w:color w:val="auto"/>
                <w:sz w:val="24"/>
                <w:highlight w:val="none"/>
                <w:lang w:val="en-US" w:eastAsia="zh-CN"/>
              </w:rPr>
              <w:t>无组织排放量为0.</w:t>
            </w:r>
            <w:r>
              <w:rPr>
                <w:rFonts w:hint="eastAsia" w:eastAsia="宋体"/>
                <w:color w:val="auto"/>
                <w:sz w:val="24"/>
                <w:highlight w:val="none"/>
                <w:lang w:val="en-US" w:eastAsia="zh-CN"/>
              </w:rPr>
              <w:t>003</w:t>
            </w:r>
            <w:r>
              <w:rPr>
                <w:rFonts w:hint="default" w:eastAsia="宋体"/>
                <w:color w:val="auto"/>
                <w:sz w:val="24"/>
                <w:highlight w:val="none"/>
                <w:lang w:val="en-US" w:eastAsia="zh-CN"/>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B.S-8混料仓带式输送机(南北向)卸料粉尘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w:t>
            </w:r>
            <w:r>
              <w:rPr>
                <w:rFonts w:hint="eastAsia"/>
                <w:color w:val="auto"/>
                <w:sz w:val="24"/>
                <w:highlight w:val="none"/>
                <w:lang w:val="en-US" w:eastAsia="zh-CN"/>
              </w:rPr>
              <w:t>S-8混料仓带式输送机(南北向)</w:t>
            </w:r>
            <w:r>
              <w:rPr>
                <w:rFonts w:hint="default"/>
                <w:color w:val="auto"/>
                <w:sz w:val="24"/>
                <w:highlight w:val="none"/>
                <w:lang w:val="en-US" w:eastAsia="zh-CN"/>
              </w:rPr>
              <w:t>输送</w:t>
            </w:r>
            <w:r>
              <w:rPr>
                <w:rFonts w:hint="eastAsia"/>
                <w:color w:val="auto"/>
                <w:sz w:val="24"/>
                <w:highlight w:val="none"/>
                <w:lang w:val="en-US" w:eastAsia="zh-CN"/>
              </w:rPr>
              <w:t>成品</w:t>
            </w:r>
            <w:r>
              <w:rPr>
                <w:rFonts w:hint="default"/>
                <w:color w:val="auto"/>
                <w:sz w:val="24"/>
                <w:highlight w:val="none"/>
                <w:lang w:val="en-US" w:eastAsia="zh-CN"/>
              </w:rPr>
              <w:t>铜精矿规模</w:t>
            </w:r>
            <w:r>
              <w:rPr>
                <w:rFonts w:hint="eastAsia"/>
                <w:color w:val="auto"/>
                <w:sz w:val="24"/>
                <w:highlight w:val="none"/>
                <w:lang w:val="en-US" w:eastAsia="zh-CN"/>
              </w:rPr>
              <w:t>1014274.64</w:t>
            </w:r>
            <w:r>
              <w:rPr>
                <w:rFonts w:hint="default"/>
                <w:color w:val="auto"/>
                <w:sz w:val="24"/>
                <w:highlight w:val="none"/>
                <w:lang w:val="en-US" w:eastAsia="zh-CN"/>
              </w:rPr>
              <w:t>t/a，卸料产生的粉尘量</w:t>
            </w:r>
            <w:r>
              <w:rPr>
                <w:rFonts w:hint="eastAsia"/>
                <w:color w:val="auto"/>
                <w:sz w:val="24"/>
                <w:highlight w:val="none"/>
                <w:lang w:val="en-US" w:eastAsia="zh-CN"/>
              </w:rPr>
              <w:t>约10.143</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75</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4</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1.014</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S-8混料仓带式输送机(南北向)卸料粉尘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C.S-5成品矿布料带式输送机(东西向)卸料粉尘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w:t>
            </w:r>
            <w:r>
              <w:rPr>
                <w:rFonts w:hint="eastAsia"/>
                <w:color w:val="auto"/>
                <w:sz w:val="24"/>
                <w:highlight w:val="none"/>
                <w:lang w:val="en-US" w:eastAsia="zh-CN"/>
              </w:rPr>
              <w:t>S-5成品矿布料带式输送机(东西向)</w:t>
            </w:r>
            <w:r>
              <w:rPr>
                <w:rFonts w:hint="default"/>
                <w:color w:val="auto"/>
                <w:sz w:val="24"/>
                <w:highlight w:val="none"/>
                <w:lang w:val="en-US" w:eastAsia="zh-CN"/>
              </w:rPr>
              <w:t>输送铜精矿规模</w:t>
            </w:r>
            <w:r>
              <w:rPr>
                <w:rFonts w:hint="eastAsia"/>
                <w:color w:val="auto"/>
                <w:sz w:val="24"/>
                <w:highlight w:val="none"/>
                <w:lang w:val="en-US" w:eastAsia="zh-CN"/>
              </w:rPr>
              <w:t>1014264.5</w:t>
            </w:r>
            <w:r>
              <w:rPr>
                <w:rFonts w:hint="default"/>
                <w:color w:val="auto"/>
                <w:sz w:val="24"/>
                <w:highlight w:val="none"/>
                <w:lang w:val="en-US" w:eastAsia="zh-CN"/>
              </w:rPr>
              <w:t>t/a，卸料产生的粉尘量</w:t>
            </w:r>
            <w:r>
              <w:rPr>
                <w:rFonts w:hint="eastAsia"/>
                <w:color w:val="auto"/>
                <w:sz w:val="24"/>
                <w:highlight w:val="none"/>
                <w:lang w:val="en-US" w:eastAsia="zh-CN"/>
              </w:rPr>
              <w:t>约10.142</w:t>
            </w:r>
            <w:r>
              <w:rPr>
                <w:rFonts w:hint="default"/>
                <w:color w:val="auto"/>
                <w:sz w:val="24"/>
                <w:highlight w:val="none"/>
                <w:lang w:val="en-US" w:eastAsia="zh-CN"/>
              </w:rPr>
              <w:t>t/a。</w:t>
            </w:r>
          </w:p>
          <w:p>
            <w:pPr>
              <w:pStyle w:val="32"/>
              <w:ind w:firstLine="48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8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1.014</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S-5成品矿布料带式输送机(东西向)</w:t>
            </w:r>
            <w:r>
              <w:rPr>
                <w:rFonts w:ascii="Times New Roman" w:hAnsi="Times New Roman" w:eastAsia="宋体" w:cs="Times New Roman"/>
                <w:color w:val="auto"/>
                <w:spacing w:val="-5"/>
                <w:highlight w:val="none"/>
              </w:rPr>
              <w:t>无组织排放量为0.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pStyle w:val="32"/>
              <w:ind w:firstLine="480"/>
              <w:rPr>
                <w:rFonts w:hint="eastAsia" w:ascii="Times New Roman" w:hAnsi="Times New Roman" w:eastAsia="宋体" w:cs="Times New Roman"/>
                <w:color w:val="auto"/>
                <w:highlight w:val="none"/>
                <w:lang w:val="en-US" w:eastAsia="zh-CN"/>
              </w:rPr>
            </w:pPr>
            <w:r>
              <w:rPr>
                <w:rFonts w:hint="eastAsia"/>
                <w:color w:val="auto"/>
                <w:szCs w:val="21"/>
                <w:highlight w:val="none"/>
              </w:rPr>
              <w:fldChar w:fldCharType="begin"/>
            </w:r>
            <w:r>
              <w:rPr>
                <w:rFonts w:hint="eastAsia"/>
                <w:color w:val="auto"/>
                <w:szCs w:val="21"/>
                <w:highlight w:val="none"/>
              </w:rPr>
              <w:instrText xml:space="preserve"> = 7 \* GB3 \* MERGEFORMAT </w:instrText>
            </w:r>
            <w:r>
              <w:rPr>
                <w:rFonts w:hint="eastAsia"/>
                <w:color w:val="auto"/>
                <w:szCs w:val="21"/>
                <w:highlight w:val="none"/>
              </w:rPr>
              <w:fldChar w:fldCharType="separate"/>
            </w:r>
            <w:r>
              <w:rPr>
                <w:color w:val="auto"/>
                <w:highlight w:val="none"/>
              </w:rPr>
              <w:t>⑦</w:t>
            </w:r>
            <w:r>
              <w:rPr>
                <w:rFonts w:hint="eastAsia"/>
                <w:color w:val="auto"/>
                <w:szCs w:val="21"/>
                <w:highlight w:val="none"/>
              </w:rPr>
              <w:fldChar w:fldCharType="end"/>
            </w:r>
            <w:r>
              <w:rPr>
                <w:rFonts w:hint="eastAsia" w:ascii="Times New Roman" w:hAnsi="Times New Roman" w:eastAsia="宋体" w:cs="Times New Roman"/>
                <w:color w:val="auto"/>
                <w:highlight w:val="none"/>
                <w:lang w:val="en-US" w:eastAsia="zh-CN"/>
              </w:rPr>
              <w:t>混矿库内成品堆存扬尘</w:t>
            </w:r>
          </w:p>
          <w:p>
            <w:pPr>
              <w:pStyle w:val="32"/>
              <w:ind w:firstLine="480"/>
              <w:rPr>
                <w:color w:val="auto"/>
                <w:spacing w:val="-5"/>
                <w:highlight w:val="none"/>
              </w:rPr>
            </w:pPr>
            <w:r>
              <w:rPr>
                <w:rFonts w:hint="eastAsia"/>
                <w:color w:val="auto"/>
                <w:highlight w:val="none"/>
              </w:rPr>
              <w:t>成品需要出库时，</w:t>
            </w:r>
            <w:r>
              <w:rPr>
                <w:rFonts w:hint="eastAsia"/>
                <w:color w:val="auto"/>
                <w:sz w:val="24"/>
                <w:highlight w:val="none"/>
                <w:lang w:val="en-US" w:eastAsia="zh-CN"/>
              </w:rPr>
              <w:t>利用S-17抓斗桥式起重机抓取至S-12中间料仓并下放到S-11直拖式配料皮带</w:t>
            </w:r>
            <w:r>
              <w:rPr>
                <w:rFonts w:hint="eastAsia"/>
                <w:color w:val="auto"/>
                <w:highlight w:val="none"/>
              </w:rPr>
              <w:t>，</w:t>
            </w:r>
            <w:r>
              <w:rPr>
                <w:rFonts w:hint="eastAsia"/>
                <w:color w:val="auto"/>
                <w:highlight w:val="none"/>
                <w:lang w:val="en-US" w:eastAsia="zh-CN"/>
              </w:rPr>
              <w:t>混矿库</w:t>
            </w:r>
            <w:r>
              <w:rPr>
                <w:rFonts w:hint="eastAsia"/>
                <w:color w:val="auto"/>
                <w:highlight w:val="none"/>
              </w:rPr>
              <w:t>设置</w:t>
            </w:r>
            <w:r>
              <w:rPr>
                <w:rFonts w:hint="eastAsia"/>
                <w:color w:val="auto"/>
                <w:highlight w:val="none"/>
                <w:lang w:val="en-US" w:eastAsia="zh-CN"/>
              </w:rPr>
              <w:t>3</w:t>
            </w:r>
            <w:r>
              <w:rPr>
                <w:rFonts w:hint="eastAsia"/>
                <w:color w:val="auto"/>
                <w:highlight w:val="none"/>
              </w:rPr>
              <w:t>个出库的</w:t>
            </w:r>
            <w:r>
              <w:rPr>
                <w:rFonts w:hint="eastAsia"/>
                <w:color w:val="auto"/>
                <w:sz w:val="24"/>
                <w:highlight w:val="none"/>
                <w:lang w:val="en-US" w:eastAsia="zh-CN"/>
              </w:rPr>
              <w:t>中间料仓</w:t>
            </w:r>
            <w:r>
              <w:rPr>
                <w:rFonts w:hint="eastAsia"/>
                <w:color w:val="auto"/>
                <w:highlight w:val="none"/>
              </w:rPr>
              <w:t>，仓底布置有两条</w:t>
            </w:r>
            <w:r>
              <w:rPr>
                <w:rFonts w:hint="eastAsia"/>
                <w:color w:val="auto"/>
                <w:sz w:val="24"/>
                <w:highlight w:val="none"/>
                <w:lang w:val="en-US" w:eastAsia="zh-CN"/>
              </w:rPr>
              <w:t>S-11直拖式配料皮带</w:t>
            </w:r>
            <w:r>
              <w:rPr>
                <w:rFonts w:hint="eastAsia"/>
                <w:color w:val="auto"/>
                <w:highlight w:val="none"/>
              </w:rPr>
              <w:t>用于出矿。</w:t>
            </w:r>
            <w:r>
              <w:rPr>
                <w:rFonts w:hint="eastAsia"/>
                <w:color w:val="auto"/>
                <w:szCs w:val="21"/>
                <w:highlight w:val="none"/>
                <w:lang w:val="en-US" w:eastAsia="zh-CN"/>
              </w:rPr>
              <w:t>成品</w:t>
            </w:r>
            <w:r>
              <w:rPr>
                <w:rFonts w:hint="eastAsia"/>
                <w:color w:val="auto"/>
                <w:szCs w:val="21"/>
                <w:highlight w:val="none"/>
              </w:rPr>
              <w:t>进入</w:t>
            </w:r>
            <w:r>
              <w:rPr>
                <w:rFonts w:hint="eastAsia"/>
                <w:color w:val="auto"/>
                <w:sz w:val="24"/>
                <w:highlight w:val="none"/>
                <w:lang w:val="en-US" w:eastAsia="zh-CN"/>
              </w:rPr>
              <w:t>中间料仓</w:t>
            </w:r>
            <w:r>
              <w:rPr>
                <w:rFonts w:hint="eastAsia"/>
                <w:color w:val="auto"/>
                <w:spacing w:val="-5"/>
                <w:highlight w:val="none"/>
              </w:rPr>
              <w:t>的</w:t>
            </w:r>
            <w:r>
              <w:rPr>
                <w:rFonts w:hint="eastAsia"/>
                <w:color w:val="auto"/>
                <w:spacing w:val="-5"/>
                <w:highlight w:val="none"/>
                <w:lang w:val="en-US" w:eastAsia="zh-CN"/>
              </w:rPr>
              <w:t>装卸</w:t>
            </w:r>
            <w:r>
              <w:rPr>
                <w:color w:val="auto"/>
                <w:spacing w:val="-5"/>
                <w:highlight w:val="none"/>
              </w:rPr>
              <w:t>过程中产生一定粉尘</w:t>
            </w:r>
            <w:r>
              <w:rPr>
                <w:rFonts w:hint="eastAsia"/>
                <w:color w:val="auto"/>
                <w:spacing w:val="-5"/>
                <w:highlight w:val="none"/>
                <w:lang w:eastAsia="zh-CN"/>
              </w:rPr>
              <w:t>。</w:t>
            </w:r>
            <w:r>
              <w:rPr>
                <w:rFonts w:hint="eastAsia" w:ascii="Times New Roman" w:hAnsi="Times New Roman"/>
                <w:color w:val="auto"/>
                <w:sz w:val="24"/>
                <w:szCs w:val="24"/>
                <w:highlight w:val="none"/>
                <w:lang w:val="en-US" w:eastAsia="zh-CN"/>
              </w:rPr>
              <w:t>根据</w:t>
            </w:r>
            <w:r>
              <w:rPr>
                <w:rFonts w:hint="eastAsia" w:ascii="Times New Roman" w:hAnsi="Times New Roman"/>
                <w:color w:val="auto"/>
                <w:sz w:val="24"/>
                <w:szCs w:val="24"/>
                <w:highlight w:val="none"/>
              </w:rPr>
              <w:t>《水运工程建设项目环境影响评价指南》（JTS/T</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105-2021）</w:t>
            </w:r>
            <w:r>
              <w:rPr>
                <w:rFonts w:ascii="Times New Roman" w:hAnsi="Times New Roman"/>
                <w:color w:val="auto"/>
                <w:sz w:val="24"/>
                <w:szCs w:val="24"/>
                <w:highlight w:val="none"/>
              </w:rPr>
              <w:t>，散货装卸过程产生的粉尘与装卸时风速、散货含水率、落料高度差及装卸效率密切相关。</w:t>
            </w:r>
            <w:r>
              <w:rPr>
                <w:rFonts w:hint="eastAsia"/>
                <w:color w:val="auto"/>
                <w:sz w:val="24"/>
                <w:szCs w:val="24"/>
                <w:highlight w:val="none"/>
                <w:lang w:val="en-US" w:eastAsia="zh-CN"/>
              </w:rPr>
              <w:t>成品作业量128.062t/h，含水率取10%，成品</w:t>
            </w:r>
            <w:r>
              <w:rPr>
                <w:rFonts w:ascii="Times New Roman" w:hAnsi="Times New Roman"/>
                <w:color w:val="auto"/>
                <w:sz w:val="24"/>
                <w:szCs w:val="24"/>
                <w:highlight w:val="none"/>
              </w:rPr>
              <w:t>堆场堆取作业的粉尘污染源强计算公式</w:t>
            </w:r>
            <w:r>
              <w:rPr>
                <w:rFonts w:hint="eastAsia"/>
                <w:color w:val="auto"/>
                <w:sz w:val="24"/>
                <w:szCs w:val="24"/>
                <w:highlight w:val="none"/>
                <w:lang w:val="en-US" w:eastAsia="zh-CN"/>
              </w:rPr>
              <w:t>详见</w:t>
            </w:r>
            <w:r>
              <w:rPr>
                <w:rFonts w:hint="eastAsia"/>
                <w:color w:val="auto"/>
                <w:spacing w:val="-5"/>
                <w:highlight w:val="none"/>
                <w:lang w:val="en-US" w:eastAsia="zh-CN"/>
              </w:rPr>
              <w:t>前文原料堆存计算公式</w:t>
            </w:r>
            <w:r>
              <w:rPr>
                <w:color w:val="auto"/>
                <w:spacing w:val="-5"/>
                <w:highlight w:val="none"/>
              </w:rPr>
              <w:t>。</w:t>
            </w:r>
          </w:p>
          <w:p>
            <w:pPr>
              <w:pStyle w:val="32"/>
              <w:ind w:firstLine="460"/>
              <w:rPr>
                <w:color w:val="auto"/>
                <w:spacing w:val="-5"/>
                <w:highlight w:val="none"/>
              </w:rPr>
            </w:pPr>
            <w:r>
              <w:rPr>
                <w:color w:val="auto"/>
                <w:spacing w:val="-5"/>
                <w:highlight w:val="none"/>
              </w:rPr>
              <w:t>考虑全车间抑尘。库房每个防火分区划分4个抑尘区域，根据生产作业实际情况</w:t>
            </w:r>
            <w:r>
              <w:rPr>
                <w:rFonts w:hint="eastAsia"/>
                <w:color w:val="auto"/>
                <w:spacing w:val="-5"/>
                <w:highlight w:val="none"/>
              </w:rPr>
              <w:t>，</w:t>
            </w:r>
            <w:r>
              <w:rPr>
                <w:color w:val="auto"/>
                <w:spacing w:val="-5"/>
                <w:highlight w:val="none"/>
              </w:rPr>
              <w:t>通过控制器，可以任意开启其中1个抑尘区独立进行喷雾，最多同时开启2个抑尘区。</w:t>
            </w:r>
            <w:r>
              <w:rPr>
                <w:rFonts w:hint="eastAsia"/>
                <w:color w:val="auto"/>
                <w:spacing w:val="-5"/>
                <w:highlight w:val="none"/>
                <w:lang w:val="en-US" w:eastAsia="zh-CN"/>
              </w:rPr>
              <w:t>混矿库</w:t>
            </w:r>
            <w:r>
              <w:rPr>
                <w:color w:val="auto"/>
                <w:spacing w:val="-5"/>
                <w:highlight w:val="none"/>
              </w:rPr>
              <w:t>设计</w:t>
            </w:r>
            <w:r>
              <w:rPr>
                <w:rFonts w:hint="eastAsia"/>
                <w:color w:val="auto"/>
                <w:spacing w:val="-5"/>
                <w:highlight w:val="none"/>
                <w:lang w:val="en-US" w:eastAsia="zh-CN"/>
              </w:rPr>
              <w:t>3</w:t>
            </w:r>
            <w:r>
              <w:rPr>
                <w:color w:val="auto"/>
                <w:spacing w:val="-5"/>
                <w:highlight w:val="none"/>
              </w:rPr>
              <w:t>套智能高压喷雾抑尘装置。</w:t>
            </w:r>
            <w:r>
              <w:rPr>
                <w:rFonts w:hint="eastAsia"/>
                <w:color w:val="auto"/>
                <w:sz w:val="24"/>
                <w:szCs w:val="24"/>
                <w:highlight w:val="none"/>
                <w:lang w:eastAsia="zh-CN"/>
              </w:rPr>
              <w:t>根据《工业源固体物料堆存颗粒物产排污核算系数手册》，洒水抑尘措施对粉尘的控制效率为74%，封闭式堆场降尘率为99%</w:t>
            </w:r>
            <w:r>
              <w:rPr>
                <w:rFonts w:ascii="Times New Roman" w:hAnsi="Times New Roman"/>
                <w:color w:val="auto"/>
                <w:sz w:val="24"/>
                <w:szCs w:val="24"/>
                <w:highlight w:val="none"/>
              </w:rPr>
              <w:t>。采取上述措施后，</w:t>
            </w:r>
            <w:r>
              <w:rPr>
                <w:rFonts w:hint="eastAsia" w:ascii="Times New Roman" w:hAnsi="Times New Roman"/>
                <w:color w:val="auto"/>
                <w:sz w:val="24"/>
                <w:szCs w:val="24"/>
                <w:highlight w:val="none"/>
                <w:lang w:val="en-US" w:eastAsia="zh-CN"/>
              </w:rPr>
              <w:t>库内</w:t>
            </w:r>
            <w:r>
              <w:rPr>
                <w:rFonts w:ascii="Times New Roman" w:hAnsi="Times New Roman"/>
                <w:color w:val="auto"/>
                <w:sz w:val="24"/>
                <w:szCs w:val="24"/>
                <w:highlight w:val="none"/>
              </w:rPr>
              <w:t>装卸抑尘效果按照</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color w:val="auto"/>
                <w:sz w:val="24"/>
                <w:szCs w:val="24"/>
                <w:highlight w:val="none"/>
              </w:rPr>
              <w:t>计算</w:t>
            </w:r>
            <w:r>
              <w:rPr>
                <w:color w:val="auto"/>
                <w:spacing w:val="-5"/>
                <w:highlight w:val="none"/>
              </w:rPr>
              <w:t>。</w:t>
            </w:r>
          </w:p>
          <w:p>
            <w:pPr>
              <w:spacing w:line="360" w:lineRule="auto"/>
              <w:ind w:firstLine="480" w:firstLineChars="200"/>
              <w:rPr>
                <w:rFonts w:hint="eastAsia" w:eastAsia="宋体"/>
                <w:color w:val="auto"/>
                <w:spacing w:val="-5"/>
                <w:highlight w:val="none"/>
                <w:u w:val="none" w:color="auto"/>
                <w:lang w:eastAsia="zh-CN"/>
              </w:rPr>
            </w:pPr>
            <w:r>
              <w:rPr>
                <w:rFonts w:hint="eastAsia" w:ascii="Times New Roman" w:hAnsi="Times New Roman"/>
                <w:color w:val="auto"/>
                <w:sz w:val="24"/>
                <w:szCs w:val="24"/>
                <w:highlight w:val="none"/>
                <w:lang w:val="en-US" w:eastAsia="zh-CN"/>
              </w:rPr>
              <w:t>根据上述公式计算，混矿库</w:t>
            </w:r>
            <w:r>
              <w:rPr>
                <w:rFonts w:hint="eastAsia"/>
                <w:color w:val="auto"/>
                <w:sz w:val="24"/>
                <w:szCs w:val="24"/>
                <w:highlight w:val="none"/>
                <w:lang w:val="en-US" w:eastAsia="zh-CN"/>
              </w:rPr>
              <w:t>成品</w:t>
            </w:r>
            <w:r>
              <w:rPr>
                <w:rFonts w:hint="eastAsia" w:ascii="Times New Roman" w:hAnsi="Times New Roman"/>
                <w:color w:val="auto"/>
                <w:sz w:val="24"/>
                <w:szCs w:val="24"/>
                <w:highlight w:val="none"/>
                <w:lang w:val="en-US" w:eastAsia="zh-CN"/>
              </w:rPr>
              <w:t>堆场装卸过程粉尘产生量</w:t>
            </w:r>
            <w:r>
              <w:rPr>
                <w:rFonts w:hint="eastAsia"/>
                <w:color w:val="auto"/>
                <w:sz w:val="24"/>
                <w:szCs w:val="24"/>
                <w:highlight w:val="none"/>
                <w:lang w:val="en-US" w:eastAsia="zh-CN"/>
              </w:rPr>
              <w:t>和排放量详见下表</w:t>
            </w:r>
            <w:r>
              <w:rPr>
                <w:rFonts w:hint="eastAsia"/>
                <w:color w:val="auto"/>
                <w:spacing w:val="-5"/>
                <w:highlight w:val="none"/>
                <w:u w:val="none" w:color="auto"/>
                <w:lang w:eastAsia="zh-CN"/>
              </w:rPr>
              <w:t>：</w:t>
            </w:r>
          </w:p>
          <w:p>
            <w:pPr>
              <w:pStyle w:val="33"/>
              <w:outlineLvl w:val="4"/>
              <w:rPr>
                <w:rFonts w:hint="eastAsia" w:eastAsia="宋体" w:cs="Times New Roman"/>
                <w:color w:val="auto"/>
                <w:highlight w:val="none"/>
                <w:lang w:val="en-US" w:eastAsia="zh-CN"/>
              </w:rPr>
            </w:pPr>
            <w:r>
              <w:rPr>
                <w:rFonts w:hint="eastAsia" w:eastAsia="宋体" w:cs="Times New Roman"/>
                <w:color w:val="auto"/>
                <w:highlight w:val="none"/>
                <w:lang w:val="en-US" w:eastAsia="zh-CN"/>
              </w:rPr>
              <w:t xml:space="preserve">表4.2.7  </w:t>
            </w:r>
            <w:r>
              <w:rPr>
                <w:rFonts w:hint="eastAsia" w:ascii="Times New Roman" w:hAnsi="Times New Roman" w:eastAsia="宋体" w:cs="Times New Roman"/>
                <w:color w:val="auto"/>
                <w:highlight w:val="none"/>
                <w:lang w:val="en-US" w:eastAsia="zh-CN"/>
              </w:rPr>
              <w:t>混矿库</w:t>
            </w:r>
            <w:r>
              <w:rPr>
                <w:rFonts w:hint="eastAsia" w:eastAsia="宋体" w:cs="Times New Roman"/>
                <w:color w:val="auto"/>
                <w:highlight w:val="none"/>
                <w:lang w:val="en-US" w:eastAsia="zh-CN"/>
              </w:rPr>
              <w:t>成品</w:t>
            </w:r>
            <w:r>
              <w:rPr>
                <w:rFonts w:hint="eastAsia" w:ascii="Times New Roman" w:hAnsi="Times New Roman"/>
                <w:color w:val="auto"/>
                <w:sz w:val="24"/>
                <w:szCs w:val="24"/>
                <w:highlight w:val="none"/>
                <w:lang w:val="en-US" w:eastAsia="zh-CN"/>
              </w:rPr>
              <w:t>堆场</w:t>
            </w:r>
            <w:r>
              <w:rPr>
                <w:rFonts w:hint="eastAsia" w:eastAsia="宋体" w:cs="Times New Roman"/>
                <w:color w:val="auto"/>
                <w:highlight w:val="none"/>
                <w:lang w:val="en-US" w:eastAsia="zh-CN"/>
              </w:rPr>
              <w:t>装卸过程粉尘产排情况一览表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98"/>
              <w:gridCol w:w="1238"/>
              <w:gridCol w:w="1109"/>
              <w:gridCol w:w="2010"/>
              <w:gridCol w:w="844"/>
              <w:gridCol w:w="95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污染源</w:t>
                  </w:r>
                </w:p>
              </w:tc>
              <w:tc>
                <w:tcPr>
                  <w:tcW w:w="599"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污染物名称</w:t>
                  </w:r>
                </w:p>
              </w:tc>
              <w:tc>
                <w:tcPr>
                  <w:tcW w:w="1280"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产生情况</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983"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排放情况</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Merge w:val="continue"/>
                  <w:vAlign w:val="center"/>
                </w:tcPr>
                <w:p>
                  <w:pPr>
                    <w:pStyle w:val="39"/>
                    <w:spacing w:line="300" w:lineRule="exact"/>
                    <w:rPr>
                      <w:rFonts w:ascii="Times New Roman" w:hAnsi="Times New Roman" w:eastAsia="宋体" w:cs="Times New Roman"/>
                      <w:color w:val="auto"/>
                      <w:highlight w:val="none"/>
                    </w:rPr>
                  </w:pPr>
                </w:p>
              </w:tc>
              <w:tc>
                <w:tcPr>
                  <w:tcW w:w="67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60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1096" w:type="pct"/>
                  <w:vMerge w:val="continue"/>
                  <w:vAlign w:val="center"/>
                </w:tcPr>
                <w:p>
                  <w:pPr>
                    <w:pStyle w:val="39"/>
                    <w:spacing w:line="300" w:lineRule="exact"/>
                    <w:rPr>
                      <w:rFonts w:ascii="Times New Roman" w:hAnsi="Times New Roman" w:eastAsia="宋体" w:cs="Times New Roman"/>
                      <w:color w:val="auto"/>
                      <w:highlight w:val="none"/>
                    </w:rPr>
                  </w:pPr>
                </w:p>
              </w:tc>
              <w:tc>
                <w:tcPr>
                  <w:tcW w:w="460"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523"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53" w:type="pct"/>
                  <w:vMerge w:val="restar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混矿库成品</w:t>
                  </w:r>
                  <w:r>
                    <w:rPr>
                      <w:rFonts w:hint="eastAsia" w:eastAsia="宋体" w:cs="Times New Roman"/>
                      <w:color w:val="auto"/>
                      <w:highlight w:val="none"/>
                      <w:lang w:val="en-US" w:eastAsia="zh-CN"/>
                    </w:rPr>
                    <w:t>装卸</w:t>
                  </w:r>
                </w:p>
              </w:tc>
              <w:tc>
                <w:tcPr>
                  <w:tcW w:w="599" w:type="pc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TSP</w:t>
                  </w:r>
                </w:p>
              </w:tc>
              <w:tc>
                <w:tcPr>
                  <w:tcW w:w="1238"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9.091 </w:t>
                  </w:r>
                </w:p>
              </w:tc>
              <w:tc>
                <w:tcPr>
                  <w:tcW w:w="110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 </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智能高压喷雾抑尘装置抑尘</w:t>
                  </w:r>
                  <w:r>
                    <w:rPr>
                      <w:rFonts w:hint="eastAsia" w:eastAsia="宋体" w:cs="Times New Roman"/>
                      <w:color w:val="auto"/>
                      <w:highlight w:val="none"/>
                      <w:lang w:eastAsia="zh-CN"/>
                    </w:rPr>
                    <w:t>；</w:t>
                  </w:r>
                  <w:r>
                    <w:rPr>
                      <w:rFonts w:hint="eastAsia" w:cs="Times New Roman"/>
                      <w:color w:val="auto"/>
                      <w:highlight w:val="none"/>
                      <w:lang w:eastAsia="zh-CN"/>
                    </w:rPr>
                    <w:t>封闭</w:t>
                  </w:r>
                  <w:r>
                    <w:rPr>
                      <w:rFonts w:ascii="Times New Roman" w:hAnsi="Times New Roman" w:eastAsia="宋体" w:cs="Times New Roman"/>
                      <w:color w:val="auto"/>
                      <w:highlight w:val="none"/>
                    </w:rPr>
                    <w:t>车间</w:t>
                  </w:r>
                </w:p>
              </w:tc>
              <w:tc>
                <w:tcPr>
                  <w:tcW w:w="844"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 </w:t>
                  </w:r>
                </w:p>
              </w:tc>
              <w:tc>
                <w:tcPr>
                  <w:tcW w:w="95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snapToGrid w:val="0"/>
                      <w:color w:val="auto"/>
                      <w:szCs w:val="21"/>
                      <w:highlight w:val="none"/>
                    </w:rPr>
                    <w:t>PM</w:t>
                  </w:r>
                  <w:r>
                    <w:rPr>
                      <w:rFonts w:ascii="Times New Roman" w:hAnsi="Times New Roman"/>
                      <w:snapToGrid w:val="0"/>
                      <w:color w:val="auto"/>
                      <w:szCs w:val="21"/>
                      <w:highlight w:val="none"/>
                      <w:vertAlign w:val="subscript"/>
                    </w:rPr>
                    <w:t>10</w:t>
                  </w:r>
                </w:p>
              </w:tc>
              <w:tc>
                <w:tcPr>
                  <w:tcW w:w="12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3.953 </w:t>
                  </w:r>
                </w:p>
              </w:tc>
              <w:tc>
                <w:tcPr>
                  <w:tcW w:w="11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0.499 </w:t>
                  </w:r>
                </w:p>
              </w:tc>
              <w:tc>
                <w:tcPr>
                  <w:tcW w:w="1096" w:type="pct"/>
                  <w:vMerge w:val="continue"/>
                  <w:vAlign w:val="center"/>
                </w:tcPr>
                <w:p>
                  <w:pPr>
                    <w:pStyle w:val="39"/>
                    <w:spacing w:line="300" w:lineRule="exact"/>
                    <w:rPr>
                      <w:rFonts w:hint="default" w:ascii="Times New Roman" w:hAnsi="Times New Roman" w:eastAsia="宋体" w:cs="Times New Roman"/>
                      <w:color w:val="auto"/>
                      <w:highlight w:val="none"/>
                      <w:lang w:val="en-US" w:eastAsia="zh-CN"/>
                    </w:rPr>
                  </w:pPr>
                </w:p>
              </w:tc>
              <w:tc>
                <w:tcPr>
                  <w:tcW w:w="84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9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bl>
          <w:p>
            <w:pPr>
              <w:pStyle w:val="32"/>
              <w:ind w:firstLine="460"/>
              <w:rPr>
                <w:color w:val="auto"/>
                <w:spacing w:val="-5"/>
                <w:highlight w:val="none"/>
              </w:rPr>
            </w:pPr>
          </w:p>
          <w:p>
            <w:pPr>
              <w:pStyle w:val="32"/>
              <w:ind w:firstLine="480"/>
              <w:rPr>
                <w:color w:val="auto"/>
                <w:highlight w:val="none"/>
              </w:rPr>
            </w:pPr>
            <w:r>
              <w:rPr>
                <w:rFonts w:hint="eastAsia"/>
                <w:color w:val="auto"/>
                <w:szCs w:val="21"/>
                <w:highlight w:val="none"/>
              </w:rPr>
              <w:fldChar w:fldCharType="begin"/>
            </w:r>
            <w:r>
              <w:rPr>
                <w:rFonts w:hint="eastAsia"/>
                <w:color w:val="auto"/>
                <w:szCs w:val="21"/>
                <w:highlight w:val="none"/>
              </w:rPr>
              <w:instrText xml:space="preserve"> = 8 \* GB3 \* MERGEFORMAT </w:instrText>
            </w:r>
            <w:r>
              <w:rPr>
                <w:rFonts w:hint="eastAsia"/>
                <w:color w:val="auto"/>
                <w:szCs w:val="21"/>
                <w:highlight w:val="none"/>
              </w:rPr>
              <w:fldChar w:fldCharType="separate"/>
            </w:r>
            <w:r>
              <w:rPr>
                <w:color w:val="auto"/>
                <w:highlight w:val="none"/>
              </w:rPr>
              <w:t>⑧</w:t>
            </w:r>
            <w:r>
              <w:rPr>
                <w:rFonts w:hint="eastAsia"/>
                <w:color w:val="auto"/>
                <w:szCs w:val="21"/>
                <w:highlight w:val="none"/>
              </w:rPr>
              <w:fldChar w:fldCharType="end"/>
            </w:r>
            <w:r>
              <w:rPr>
                <w:rFonts w:hint="eastAsia"/>
                <w:color w:val="auto"/>
                <w:szCs w:val="21"/>
                <w:highlight w:val="none"/>
                <w:lang w:val="en-US" w:eastAsia="zh-CN"/>
              </w:rPr>
              <w:t>混矿库</w:t>
            </w:r>
            <w:r>
              <w:rPr>
                <w:rFonts w:hint="eastAsia"/>
                <w:color w:val="auto"/>
                <w:highlight w:val="none"/>
              </w:rPr>
              <w:t>成品转运过程扬尘</w:t>
            </w:r>
          </w:p>
          <w:p>
            <w:pPr>
              <w:pStyle w:val="32"/>
              <w:ind w:firstLine="480"/>
              <w:rPr>
                <w:rFonts w:hint="eastAsia"/>
                <w:color w:val="auto"/>
                <w:sz w:val="24"/>
                <w:highlight w:val="none"/>
                <w:lang w:val="en-US" w:eastAsia="zh-CN"/>
              </w:rPr>
            </w:pPr>
            <w:r>
              <w:rPr>
                <w:rFonts w:hint="eastAsia"/>
                <w:color w:val="auto"/>
                <w:szCs w:val="21"/>
                <w:highlight w:val="none"/>
                <w:lang w:val="en-US" w:eastAsia="zh-CN"/>
              </w:rPr>
              <w:t>混矿库内</w:t>
            </w:r>
            <w:r>
              <w:rPr>
                <w:rFonts w:hint="eastAsia"/>
                <w:color w:val="auto"/>
                <w:sz w:val="24"/>
                <w:highlight w:val="none"/>
                <w:lang w:val="en-US" w:eastAsia="zh-CN"/>
              </w:rPr>
              <w:t>成品通过S-9成品矿带式输送机(东西向)、S-4出料带式输送机(南北向)、S-2出料带式输送机(东西向)、S-14皮带廊出料带式输送机(南北向)运送至卸矿站。</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A.S-9成品矿带式输送机(东西向)上料和卸料粉尘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参照《逸散性粉尘控制技术》，上料过程中产生的粉尘量为0.0029kg/t-料，落料过程中产生的粉尘量为0.01kg/t-料，</w:t>
            </w:r>
            <w:r>
              <w:rPr>
                <w:rFonts w:hint="eastAsia"/>
                <w:color w:val="auto"/>
                <w:sz w:val="24"/>
                <w:highlight w:val="none"/>
                <w:lang w:val="en-US" w:eastAsia="zh-CN"/>
              </w:rPr>
              <w:t>S-9成品矿带式输送机(东西向)</w:t>
            </w:r>
            <w:r>
              <w:rPr>
                <w:rFonts w:hint="default"/>
                <w:color w:val="auto"/>
                <w:sz w:val="24"/>
                <w:highlight w:val="none"/>
                <w:lang w:val="en-US" w:eastAsia="zh-CN"/>
              </w:rPr>
              <w:t>输送铜精矿规模</w:t>
            </w:r>
            <w:r>
              <w:rPr>
                <w:rFonts w:hint="eastAsia"/>
                <w:color w:val="auto"/>
                <w:sz w:val="24"/>
                <w:highlight w:val="none"/>
                <w:lang w:val="en-US" w:eastAsia="zh-CN"/>
              </w:rPr>
              <w:t>1017844.9</w:t>
            </w:r>
            <w:r>
              <w:rPr>
                <w:rFonts w:hint="default"/>
                <w:color w:val="auto"/>
                <w:sz w:val="24"/>
                <w:highlight w:val="none"/>
                <w:lang w:val="en-US" w:eastAsia="zh-CN"/>
              </w:rPr>
              <w:t>t/a</w:t>
            </w:r>
            <w:r>
              <w:rPr>
                <w:rFonts w:hint="eastAsia"/>
                <w:color w:val="auto"/>
                <w:sz w:val="24"/>
                <w:highlight w:val="none"/>
                <w:lang w:val="en-US" w:eastAsia="zh-CN"/>
              </w:rPr>
              <w:t>（喷雾抑尘过程含水量增加3599.64t/a）</w:t>
            </w:r>
            <w:r>
              <w:rPr>
                <w:rFonts w:hint="default"/>
                <w:color w:val="auto"/>
                <w:sz w:val="24"/>
                <w:highlight w:val="none"/>
                <w:lang w:val="en-US" w:eastAsia="zh-CN"/>
              </w:rPr>
              <w:t>，</w:t>
            </w:r>
            <w:r>
              <w:rPr>
                <w:rFonts w:hint="eastAsia"/>
                <w:color w:val="auto"/>
                <w:sz w:val="24"/>
                <w:highlight w:val="none"/>
                <w:lang w:val="en-US" w:eastAsia="zh-CN"/>
              </w:rPr>
              <w:t>上料和卸料粉尘</w:t>
            </w:r>
            <w:r>
              <w:rPr>
                <w:rFonts w:hint="default"/>
                <w:color w:val="auto"/>
                <w:sz w:val="24"/>
                <w:highlight w:val="none"/>
                <w:lang w:val="en-US" w:eastAsia="zh-CN"/>
              </w:rPr>
              <w:t>产生的粉尘量</w:t>
            </w:r>
            <w:r>
              <w:rPr>
                <w:rFonts w:hint="eastAsia"/>
                <w:color w:val="auto"/>
                <w:sz w:val="24"/>
                <w:highlight w:val="none"/>
                <w:lang w:val="en-US" w:eastAsia="zh-CN"/>
              </w:rPr>
              <w:t>约13.13</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1.313</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S-9成品矿带式输送机(东西向)</w:t>
            </w:r>
            <w:r>
              <w:rPr>
                <w:rFonts w:ascii="Times New Roman" w:hAnsi="Times New Roman" w:eastAsia="宋体" w:cs="Times New Roman"/>
                <w:color w:val="auto"/>
                <w:spacing w:val="-5"/>
                <w:highlight w:val="none"/>
              </w:rPr>
              <w:t>无组织排放量为0.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B.S-4出料带式输送机(南北向)卸料粉尘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参照《逸散性粉尘控制技术》，落料过程中产生的粉尘量为0.01kg/t-料，S-4出料带式输送机(南北向)输送铜精矿规模</w:t>
            </w:r>
            <w:r>
              <w:rPr>
                <w:rFonts w:hint="eastAsia"/>
                <w:color w:val="auto"/>
                <w:sz w:val="24"/>
                <w:highlight w:val="none"/>
                <w:lang w:val="en-US" w:eastAsia="zh-CN"/>
              </w:rPr>
              <w:t>1017831.77</w:t>
            </w:r>
            <w:r>
              <w:rPr>
                <w:rFonts w:hint="default"/>
                <w:color w:val="auto"/>
                <w:sz w:val="24"/>
                <w:highlight w:val="none"/>
                <w:lang w:val="en-US" w:eastAsia="zh-CN"/>
              </w:rPr>
              <w:t>t/a，卸料产生的粉尘量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rFonts w:hint="eastAsia"/>
                <w:color w:val="auto"/>
                <w:spacing w:val="-5"/>
                <w:highlight w:val="none"/>
                <w:lang w:val="en-US" w:eastAsia="zh-CN"/>
              </w:rPr>
              <w:t>99.5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1.018</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S-4出料带式输送机(南北向)卸料粉尘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C.S-2出料带式输送机(东西向)卸料粉尘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w:t>
            </w:r>
            <w:r>
              <w:rPr>
                <w:rFonts w:hint="eastAsia"/>
                <w:color w:val="auto"/>
                <w:sz w:val="24"/>
                <w:highlight w:val="none"/>
                <w:lang w:val="en-US" w:eastAsia="zh-CN"/>
              </w:rPr>
              <w:t>S-2出料带式输送机(东西向)</w:t>
            </w:r>
            <w:r>
              <w:rPr>
                <w:rFonts w:hint="default"/>
                <w:color w:val="auto"/>
                <w:sz w:val="24"/>
                <w:highlight w:val="none"/>
                <w:lang w:val="en-US" w:eastAsia="zh-CN"/>
              </w:rPr>
              <w:t>输送铜精矿规模</w:t>
            </w:r>
            <w:r>
              <w:rPr>
                <w:rFonts w:hint="eastAsia"/>
                <w:color w:val="auto"/>
                <w:sz w:val="24"/>
                <w:highlight w:val="none"/>
                <w:lang w:val="en-US" w:eastAsia="zh-CN"/>
              </w:rPr>
              <w:t>1017821.6</w:t>
            </w:r>
            <w:r>
              <w:rPr>
                <w:rFonts w:hint="default"/>
                <w:color w:val="auto"/>
                <w:sz w:val="24"/>
                <w:highlight w:val="none"/>
                <w:lang w:val="en-US" w:eastAsia="zh-CN"/>
              </w:rPr>
              <w:t>t/a，卸料产生的粉尘量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60"/>
              <w:rPr>
                <w:rFonts w:ascii="Times New Roman" w:hAnsi="Times New Roman" w:eastAsia="宋体" w:cs="Times New Roman"/>
                <w:color w:val="auto"/>
                <w:spacing w:val="-5"/>
                <w:highlight w:val="none"/>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1.018</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S-2出料带式输送机(东西向)卸料粉尘</w:t>
            </w:r>
            <w:r>
              <w:rPr>
                <w:rFonts w:ascii="Times New Roman" w:hAnsi="Times New Roman" w:eastAsia="宋体" w:cs="Times New Roman"/>
                <w:color w:val="auto"/>
                <w:spacing w:val="-5"/>
                <w:highlight w:val="none"/>
              </w:rPr>
              <w:t>无组织排放量0.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spacing w:line="360" w:lineRule="auto"/>
              <w:ind w:firstLine="480" w:firstLineChars="200"/>
              <w:rPr>
                <w:rFonts w:hint="eastAsia"/>
                <w:color w:val="auto"/>
                <w:sz w:val="24"/>
                <w:highlight w:val="none"/>
                <w:lang w:val="en-US" w:eastAsia="zh-CN"/>
              </w:rPr>
            </w:pPr>
            <w:r>
              <w:rPr>
                <w:rFonts w:hint="eastAsia"/>
                <w:color w:val="auto"/>
                <w:sz w:val="24"/>
                <w:highlight w:val="none"/>
                <w:lang w:val="en-US" w:eastAsia="zh-CN"/>
              </w:rPr>
              <w:t>D.S-14皮带廊出料带式输送机(南北向)卸料粉尘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参照《逸散性粉尘控制技术》，落料过程中产生的粉尘量为0.01kg/t-料，</w:t>
            </w:r>
            <w:r>
              <w:rPr>
                <w:rFonts w:hint="eastAsia"/>
                <w:color w:val="auto"/>
                <w:sz w:val="24"/>
                <w:highlight w:val="none"/>
                <w:lang w:val="en-US" w:eastAsia="zh-CN"/>
              </w:rPr>
              <w:t>S-14皮带廊出料带式输送机(南北向)</w:t>
            </w:r>
            <w:r>
              <w:rPr>
                <w:rFonts w:hint="default"/>
                <w:color w:val="auto"/>
                <w:sz w:val="24"/>
                <w:highlight w:val="none"/>
                <w:lang w:val="en-US" w:eastAsia="zh-CN"/>
              </w:rPr>
              <w:t>输送铜精矿规模</w:t>
            </w:r>
            <w:r>
              <w:rPr>
                <w:rFonts w:hint="eastAsia"/>
                <w:color w:val="auto"/>
                <w:sz w:val="24"/>
                <w:highlight w:val="none"/>
                <w:lang w:val="en-US" w:eastAsia="zh-CN"/>
              </w:rPr>
              <w:t>1017811.42</w:t>
            </w:r>
            <w:r>
              <w:rPr>
                <w:rFonts w:hint="default"/>
                <w:color w:val="auto"/>
                <w:sz w:val="24"/>
                <w:highlight w:val="none"/>
                <w:lang w:val="en-US" w:eastAsia="zh-CN"/>
              </w:rPr>
              <w:t>t/a，卸料产生的粉尘量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w:t>
            </w:r>
            <w:r>
              <w:rPr>
                <w:rFonts w:hint="eastAsia"/>
                <w:color w:val="auto"/>
                <w:spacing w:val="-5"/>
                <w:highlight w:val="none"/>
                <w:lang w:val="en-US" w:eastAsia="zh-CN"/>
              </w:rPr>
              <w:t>64</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3</w:t>
            </w:r>
            <w:r>
              <w:rPr>
                <w:rFonts w:hint="eastAsia"/>
                <w:color w:val="auto"/>
                <w:szCs w:val="21"/>
                <w:highlight w:val="none"/>
              </w:rPr>
              <w:t>）</w:t>
            </w:r>
            <w:r>
              <w:rPr>
                <w:color w:val="auto"/>
                <w:spacing w:val="-5"/>
                <w:highlight w:val="none"/>
              </w:rPr>
              <w:t>排放。</w:t>
            </w:r>
          </w:p>
          <w:p>
            <w:pPr>
              <w:pStyle w:val="32"/>
              <w:ind w:firstLine="480"/>
              <w:rPr>
                <w:rFonts w:hint="eastAsia"/>
                <w:color w:val="auto"/>
                <w:sz w:val="24"/>
                <w:highlight w:val="none"/>
                <w:lang w:val="en-US" w:eastAsia="zh-CN"/>
              </w:rPr>
            </w:pPr>
            <w:r>
              <w:rPr>
                <w:rFonts w:hint="eastAsia" w:ascii="Times New Roman" w:hAnsi="Times New Roman" w:eastAsia="宋体" w:cs="Times New Roman"/>
                <w:color w:val="auto"/>
                <w:spacing w:val="-5"/>
                <w:highlight w:val="none"/>
              </w:rPr>
              <w:t>未经收集的</w:t>
            </w:r>
            <w:r>
              <w:rPr>
                <w:rFonts w:ascii="Times New Roman" w:hAnsi="Times New Roman" w:eastAsia="宋体" w:cs="Times New Roman"/>
                <w:color w:val="auto"/>
                <w:spacing w:val="-5"/>
                <w:highlight w:val="none"/>
              </w:rPr>
              <w:t>粉尘</w:t>
            </w:r>
            <w:r>
              <w:rPr>
                <w:rFonts w:hint="eastAsia" w:ascii="Times New Roman" w:hAnsi="Times New Roman" w:eastAsia="宋体" w:cs="Times New Roman"/>
                <w:color w:val="auto"/>
                <w:spacing w:val="-5"/>
                <w:highlight w:val="none"/>
              </w:rPr>
              <w:t>（</w:t>
            </w:r>
            <w:r>
              <w:rPr>
                <w:rFonts w:hint="eastAsia"/>
                <w:color w:val="auto"/>
                <w:spacing w:val="-5"/>
                <w:highlight w:val="none"/>
                <w:lang w:val="en-US" w:eastAsia="zh-CN"/>
              </w:rPr>
              <w:t>1.018</w:t>
            </w:r>
            <w:r>
              <w:rPr>
                <w:rFonts w:hint="eastAsia" w:ascii="Times New Roman" w:hAnsi="Times New Roman" w:eastAsia="宋体" w:cs="Times New Roman"/>
                <w:color w:val="auto"/>
                <w:spacing w:val="-5"/>
                <w:highlight w:val="none"/>
              </w:rPr>
              <w:t>t/a）</w:t>
            </w:r>
            <w:r>
              <w:rPr>
                <w:rFonts w:ascii="Times New Roman" w:hAnsi="Times New Roman" w:eastAsia="宋体" w:cs="Times New Roman"/>
                <w:color w:val="auto"/>
                <w:spacing w:val="-5"/>
                <w:highlight w:val="none"/>
              </w:rPr>
              <w:t>经</w:t>
            </w:r>
            <w:r>
              <w:rPr>
                <w:rFonts w:hint="eastAsia" w:ascii="Times New Roman" w:hAnsi="Times New Roman" w:eastAsia="宋体" w:cs="Times New Roman"/>
                <w:color w:val="auto"/>
                <w:spacing w:val="-5"/>
                <w:highlight w:val="none"/>
                <w:lang w:val="en-US" w:eastAsia="zh-CN"/>
              </w:rPr>
              <w:t>混矿库</w:t>
            </w:r>
            <w:r>
              <w:rPr>
                <w:rFonts w:ascii="Times New Roman" w:hAnsi="Times New Roman" w:eastAsia="宋体" w:cs="Times New Roman"/>
                <w:color w:val="auto"/>
                <w:spacing w:val="-5"/>
                <w:highlight w:val="none"/>
              </w:rPr>
              <w:t>车间内</w:t>
            </w:r>
            <w:r>
              <w:rPr>
                <w:rFonts w:hint="eastAsia" w:ascii="Times New Roman" w:hAnsi="Times New Roman" w:eastAsia="宋体" w:cs="Times New Roman"/>
                <w:color w:val="auto"/>
                <w:spacing w:val="-5"/>
                <w:highlight w:val="none"/>
              </w:rPr>
              <w:t>智能高压喷雾抑尘装置</w:t>
            </w:r>
            <w:r>
              <w:rPr>
                <w:rFonts w:ascii="Times New Roman" w:hAnsi="Times New Roman" w:eastAsia="宋体" w:cs="Times New Roman"/>
                <w:color w:val="auto"/>
                <w:spacing w:val="-5"/>
                <w:highlight w:val="none"/>
              </w:rPr>
              <w:t>降尘后沉降在</w:t>
            </w:r>
            <w:r>
              <w:rPr>
                <w:rFonts w:hint="eastAsia" w:cs="Times New Roman"/>
                <w:color w:val="auto"/>
                <w:spacing w:val="-5"/>
                <w:highlight w:val="none"/>
                <w:lang w:eastAsia="zh-CN"/>
              </w:rPr>
              <w:t>封闭</w:t>
            </w:r>
            <w:r>
              <w:rPr>
                <w:rFonts w:ascii="Times New Roman" w:hAnsi="Times New Roman" w:eastAsia="宋体" w:cs="Times New Roman"/>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，则</w:t>
            </w:r>
            <w:r>
              <w:rPr>
                <w:rFonts w:hint="eastAsia"/>
                <w:color w:val="auto"/>
                <w:sz w:val="24"/>
                <w:highlight w:val="none"/>
                <w:lang w:val="en-US" w:eastAsia="zh-CN"/>
              </w:rPr>
              <w:t>S-14皮带廊出料带式输送机(南北向)</w:t>
            </w:r>
            <w:r>
              <w:rPr>
                <w:rFonts w:ascii="Times New Roman" w:hAnsi="Times New Roman" w:eastAsia="宋体" w:cs="Times New Roman"/>
                <w:color w:val="auto"/>
                <w:spacing w:val="-5"/>
                <w:highlight w:val="none"/>
              </w:rPr>
              <w:t>无组织排放量为0.</w:t>
            </w:r>
            <w:r>
              <w:rPr>
                <w:rFonts w:hint="eastAsia" w:ascii="Times New Roman" w:hAnsi="Times New Roman" w:eastAsia="宋体" w:cs="Times New Roman"/>
                <w:color w:val="auto"/>
                <w:spacing w:val="-5"/>
                <w:highlight w:val="none"/>
                <w:lang w:val="en-US" w:eastAsia="zh-CN"/>
              </w:rPr>
              <w:t>003</w:t>
            </w:r>
            <w:r>
              <w:rPr>
                <w:rFonts w:ascii="Times New Roman" w:hAnsi="Times New Roman" w:eastAsia="宋体" w:cs="Times New Roman"/>
                <w:color w:val="auto"/>
                <w:spacing w:val="-5"/>
                <w:highlight w:val="none"/>
              </w:rPr>
              <w:t>t/a。</w:t>
            </w:r>
          </w:p>
          <w:p>
            <w:pPr>
              <w:pStyle w:val="32"/>
              <w:ind w:firstLine="480"/>
              <w:rPr>
                <w:rFonts w:hint="default" w:eastAsia="宋体"/>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4</w:t>
            </w:r>
            <w:r>
              <w:rPr>
                <w:rFonts w:hint="eastAsia"/>
                <w:color w:val="auto"/>
                <w:szCs w:val="21"/>
                <w:highlight w:val="none"/>
              </w:rPr>
              <w:t>）</w:t>
            </w:r>
            <w:r>
              <w:rPr>
                <w:rFonts w:hint="eastAsia"/>
                <w:color w:val="auto"/>
                <w:szCs w:val="21"/>
                <w:highlight w:val="none"/>
                <w:lang w:val="en-US" w:eastAsia="zh-CN"/>
              </w:rPr>
              <w:t>卸矿站成品输送和成品堆场粉尘</w:t>
            </w:r>
          </w:p>
          <w:p>
            <w:pPr>
              <w:spacing w:line="360" w:lineRule="auto"/>
              <w:ind w:firstLine="480" w:firstLineChars="200"/>
              <w:rPr>
                <w:rFonts w:hint="eastAsia"/>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color w:val="auto"/>
                <w:sz w:val="24"/>
                <w:highlight w:val="none"/>
                <w:lang w:val="en-US" w:eastAsia="zh-CN"/>
              </w:rPr>
              <w:t>3</w:t>
            </w:r>
            <w:r>
              <w:rPr>
                <w:rFonts w:hint="default"/>
                <w:color w:val="auto"/>
                <w:sz w:val="24"/>
                <w:highlight w:val="none"/>
                <w:lang w:val="en-US" w:eastAsia="zh-CN"/>
              </w:rPr>
              <w:t>#胶带输送机输送</w:t>
            </w:r>
            <w:r>
              <w:rPr>
                <w:rFonts w:hint="eastAsia"/>
                <w:color w:val="auto"/>
                <w:sz w:val="24"/>
                <w:highlight w:val="none"/>
                <w:lang w:val="en-US" w:eastAsia="zh-CN"/>
              </w:rPr>
              <w:t>卸料粉尘</w:t>
            </w:r>
          </w:p>
          <w:p>
            <w:pPr>
              <w:pStyle w:val="32"/>
              <w:ind w:firstLine="480"/>
              <w:rPr>
                <w:rFonts w:hint="eastAsia"/>
                <w:color w:val="auto"/>
                <w:sz w:val="24"/>
                <w:highlight w:val="none"/>
                <w:lang w:val="en-US" w:eastAsia="zh-CN"/>
              </w:rPr>
            </w:pPr>
            <w:r>
              <w:rPr>
                <w:rFonts w:hint="eastAsia"/>
                <w:color w:val="auto"/>
                <w:sz w:val="24"/>
                <w:highlight w:val="none"/>
                <w:lang w:val="en-US" w:eastAsia="zh-CN"/>
              </w:rPr>
              <w:t>成品矿经皮带运输由混矿库送入卸矿站内的3#胶带输送机S-7上，连通2#桥式横向布料机S-6将成品矿堆存。</w:t>
            </w:r>
          </w:p>
          <w:p>
            <w:pPr>
              <w:spacing w:line="360" w:lineRule="auto"/>
              <w:ind w:firstLine="480" w:firstLineChars="200"/>
              <w:rPr>
                <w:rFonts w:hint="default"/>
                <w:color w:val="auto"/>
                <w:sz w:val="24"/>
                <w:highlight w:val="none"/>
                <w:lang w:val="en-US" w:eastAsia="zh-CN"/>
              </w:rPr>
            </w:pP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成品</w:t>
            </w:r>
            <w:r>
              <w:rPr>
                <w:rFonts w:hint="default"/>
                <w:color w:val="auto"/>
                <w:sz w:val="24"/>
                <w:highlight w:val="none"/>
                <w:lang w:val="en-US" w:eastAsia="zh-CN"/>
              </w:rPr>
              <w:t>输送规模约</w:t>
            </w:r>
            <w:r>
              <w:rPr>
                <w:rFonts w:hint="eastAsia"/>
                <w:color w:val="auto"/>
                <w:sz w:val="24"/>
                <w:highlight w:val="none"/>
                <w:lang w:val="en-US" w:eastAsia="zh-CN"/>
              </w:rPr>
              <w:t>1017801.24</w:t>
            </w:r>
            <w:r>
              <w:rPr>
                <w:rFonts w:hint="default"/>
                <w:color w:val="auto"/>
                <w:sz w:val="24"/>
                <w:highlight w:val="none"/>
                <w:lang w:val="en-US" w:eastAsia="zh-CN"/>
              </w:rPr>
              <w:t>t/a，卸料产生的粉尘量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60"/>
              <w:rPr>
                <w:rFonts w:ascii="Times New Roman" w:hAnsi="Times New Roman"/>
                <w:color w:val="auto"/>
                <w:sz w:val="24"/>
                <w:szCs w:val="24"/>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1.018</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eastAsia="宋体" w:cs="Times New Roman"/>
                <w:color w:val="auto"/>
                <w:spacing w:val="-5"/>
                <w:highlight w:val="none"/>
              </w:rPr>
              <w:t>，</w:t>
            </w:r>
            <w:r>
              <w:rPr>
                <w:color w:val="auto"/>
                <w:spacing w:val="-5"/>
                <w:highlight w:val="none"/>
              </w:rPr>
              <w:t>则</w:t>
            </w:r>
            <w:r>
              <w:rPr>
                <w:rFonts w:hint="eastAsia"/>
                <w:color w:val="auto"/>
                <w:sz w:val="24"/>
                <w:highlight w:val="none"/>
                <w:lang w:val="en-US" w:eastAsia="zh-CN"/>
              </w:rPr>
              <w:t>3</w:t>
            </w:r>
            <w:r>
              <w:rPr>
                <w:rFonts w:hint="default"/>
                <w:color w:val="auto"/>
                <w:sz w:val="24"/>
                <w:highlight w:val="none"/>
                <w:lang w:val="en-US" w:eastAsia="zh-CN"/>
              </w:rPr>
              <w:t>#胶带输送机</w:t>
            </w:r>
            <w:r>
              <w:rPr>
                <w:rFonts w:hint="eastAsia"/>
                <w:color w:val="auto"/>
                <w:sz w:val="24"/>
                <w:highlight w:val="none"/>
                <w:lang w:val="en-US" w:eastAsia="zh-CN"/>
              </w:rPr>
              <w:t>卸料粉尘</w:t>
            </w:r>
            <w:r>
              <w:rPr>
                <w:color w:val="auto"/>
                <w:spacing w:val="-5"/>
                <w:highlight w:val="none"/>
              </w:rPr>
              <w:t>无组织排放量为0.</w:t>
            </w:r>
            <w:r>
              <w:rPr>
                <w:rFonts w:hint="eastAsia"/>
                <w:color w:val="auto"/>
                <w:spacing w:val="-5"/>
                <w:highlight w:val="none"/>
                <w:lang w:val="en-US" w:eastAsia="zh-CN"/>
              </w:rPr>
              <w:t>003</w:t>
            </w:r>
            <w:r>
              <w:rPr>
                <w:color w:val="auto"/>
                <w:spacing w:val="-5"/>
                <w:highlight w:val="none"/>
              </w:rPr>
              <w:t>t/a</w:t>
            </w:r>
            <w:r>
              <w:rPr>
                <w:rFonts w:ascii="Times New Roman" w:hAnsi="Times New Roman"/>
                <w:color w:val="auto"/>
                <w:sz w:val="24"/>
                <w:szCs w:val="24"/>
                <w:highlight w:val="none"/>
              </w:rPr>
              <w:t>。</w:t>
            </w:r>
          </w:p>
          <w:p>
            <w:pPr>
              <w:pStyle w:val="32"/>
              <w:ind w:firstLine="480"/>
              <w:rPr>
                <w:color w:val="auto"/>
                <w:highlight w:val="none"/>
              </w:rPr>
            </w:pPr>
            <w:r>
              <w:rPr>
                <w:rFonts w:hint="default" w:ascii="Times New Roman" w:hAnsi="Times New Roman" w:eastAsia="宋体" w:cs="Times New Roman"/>
                <w:color w:val="auto"/>
                <w:highlight w:val="none"/>
              </w:rPr>
              <w:t>②</w:t>
            </w:r>
            <w:r>
              <w:rPr>
                <w:rFonts w:hint="eastAsia"/>
                <w:color w:val="auto"/>
                <w:szCs w:val="21"/>
                <w:highlight w:val="none"/>
                <w:lang w:val="en-US" w:eastAsia="zh-CN"/>
              </w:rPr>
              <w:t>卸矿站</w:t>
            </w:r>
            <w:r>
              <w:rPr>
                <w:rFonts w:hint="eastAsia" w:ascii="Times New Roman" w:hAnsi="Times New Roman" w:eastAsia="宋体" w:cs="Times New Roman"/>
                <w:color w:val="auto"/>
                <w:highlight w:val="none"/>
                <w:lang w:val="en-US" w:eastAsia="zh-CN"/>
              </w:rPr>
              <w:t>成品</w:t>
            </w:r>
            <w:r>
              <w:rPr>
                <w:rFonts w:hint="eastAsia"/>
                <w:color w:val="auto"/>
                <w:highlight w:val="none"/>
                <w:lang w:val="en-US" w:eastAsia="zh-CN"/>
              </w:rPr>
              <w:t>堆存</w:t>
            </w:r>
            <w:r>
              <w:rPr>
                <w:rFonts w:hint="eastAsia"/>
                <w:color w:val="auto"/>
                <w:highlight w:val="none"/>
              </w:rPr>
              <w:t>扬尘</w:t>
            </w:r>
          </w:p>
          <w:p>
            <w:pPr>
              <w:pStyle w:val="32"/>
              <w:ind w:firstLine="480"/>
              <w:rPr>
                <w:color w:val="auto"/>
                <w:spacing w:val="-5"/>
                <w:highlight w:val="none"/>
              </w:rPr>
            </w:pPr>
            <w:r>
              <w:rPr>
                <w:rFonts w:hint="eastAsia"/>
                <w:color w:val="auto"/>
                <w:sz w:val="24"/>
                <w:highlight w:val="none"/>
                <w:lang w:val="en-US" w:eastAsia="zh-CN"/>
              </w:rPr>
              <w:t>成品矿堆存的同时由装载车装载至卸矿站内的运输货车上，货车装满成品矿后行驶至站内地磅S-14上称重，称重结束后立刻行驶至仓库东侧中部的地面中间料仓S-13前卸料</w:t>
            </w:r>
            <w:r>
              <w:rPr>
                <w:rFonts w:hint="eastAsia"/>
                <w:color w:val="auto"/>
                <w:highlight w:val="none"/>
              </w:rPr>
              <w:t>，</w:t>
            </w:r>
            <w:r>
              <w:rPr>
                <w:rFonts w:hint="eastAsia"/>
                <w:color w:val="auto"/>
                <w:szCs w:val="21"/>
                <w:highlight w:val="none"/>
                <w:lang w:val="en-US" w:eastAsia="zh-CN"/>
              </w:rPr>
              <w:t>卸矿站</w:t>
            </w:r>
            <w:r>
              <w:rPr>
                <w:rFonts w:hint="eastAsia"/>
                <w:color w:val="auto"/>
                <w:highlight w:val="none"/>
              </w:rPr>
              <w:t>设置</w:t>
            </w:r>
            <w:r>
              <w:rPr>
                <w:rFonts w:hint="eastAsia"/>
                <w:color w:val="auto"/>
                <w:highlight w:val="none"/>
                <w:lang w:val="en-US" w:eastAsia="zh-CN"/>
              </w:rPr>
              <w:t>2</w:t>
            </w:r>
            <w:r>
              <w:rPr>
                <w:rFonts w:hint="eastAsia"/>
                <w:color w:val="auto"/>
                <w:highlight w:val="none"/>
              </w:rPr>
              <w:t>个出库的</w:t>
            </w:r>
            <w:r>
              <w:rPr>
                <w:rFonts w:hint="eastAsia"/>
                <w:color w:val="auto"/>
                <w:sz w:val="24"/>
                <w:highlight w:val="none"/>
                <w:lang w:val="en-US" w:eastAsia="zh-CN"/>
              </w:rPr>
              <w:t>中间料仓</w:t>
            </w:r>
            <w:r>
              <w:rPr>
                <w:rFonts w:hint="eastAsia"/>
                <w:color w:val="auto"/>
                <w:highlight w:val="none"/>
              </w:rPr>
              <w:t>，仓底布置有</w:t>
            </w:r>
            <w:r>
              <w:rPr>
                <w:rFonts w:hint="eastAsia"/>
                <w:color w:val="auto"/>
                <w:sz w:val="24"/>
                <w:highlight w:val="none"/>
                <w:lang w:val="en-US" w:eastAsia="zh-CN"/>
              </w:rPr>
              <w:t>6#胶带输送机S-12</w:t>
            </w:r>
            <w:r>
              <w:rPr>
                <w:rFonts w:hint="eastAsia"/>
                <w:color w:val="auto"/>
                <w:highlight w:val="none"/>
              </w:rPr>
              <w:t>用于出矿。</w:t>
            </w:r>
            <w:r>
              <w:rPr>
                <w:rFonts w:hint="eastAsia"/>
                <w:color w:val="auto"/>
                <w:szCs w:val="21"/>
                <w:highlight w:val="none"/>
                <w:lang w:val="en-US" w:eastAsia="zh-CN"/>
              </w:rPr>
              <w:t>成品</w:t>
            </w:r>
            <w:r>
              <w:rPr>
                <w:rFonts w:hint="eastAsia"/>
                <w:color w:val="auto"/>
                <w:szCs w:val="21"/>
                <w:highlight w:val="none"/>
              </w:rPr>
              <w:t>进入</w:t>
            </w:r>
            <w:r>
              <w:rPr>
                <w:rFonts w:hint="eastAsia"/>
                <w:color w:val="auto"/>
                <w:sz w:val="24"/>
                <w:highlight w:val="none"/>
                <w:lang w:val="en-US" w:eastAsia="zh-CN"/>
              </w:rPr>
              <w:t>中间料仓</w:t>
            </w:r>
            <w:r>
              <w:rPr>
                <w:rFonts w:hint="eastAsia"/>
                <w:color w:val="auto"/>
                <w:spacing w:val="-5"/>
                <w:highlight w:val="none"/>
              </w:rPr>
              <w:t>的</w:t>
            </w:r>
            <w:r>
              <w:rPr>
                <w:rFonts w:hint="eastAsia"/>
                <w:color w:val="auto"/>
                <w:spacing w:val="-5"/>
                <w:highlight w:val="none"/>
                <w:lang w:val="en-US" w:eastAsia="zh-CN"/>
              </w:rPr>
              <w:t>装卸</w:t>
            </w:r>
            <w:r>
              <w:rPr>
                <w:color w:val="auto"/>
                <w:spacing w:val="-5"/>
                <w:highlight w:val="none"/>
              </w:rPr>
              <w:t>过程中产生一定粉尘</w:t>
            </w:r>
            <w:r>
              <w:rPr>
                <w:rFonts w:hint="eastAsia"/>
                <w:color w:val="auto"/>
                <w:spacing w:val="-5"/>
                <w:highlight w:val="none"/>
                <w:lang w:eastAsia="zh-CN"/>
              </w:rPr>
              <w:t>。</w:t>
            </w:r>
            <w:r>
              <w:rPr>
                <w:rFonts w:hint="eastAsia" w:ascii="Times New Roman" w:hAnsi="Times New Roman"/>
                <w:color w:val="auto"/>
                <w:sz w:val="24"/>
                <w:szCs w:val="24"/>
                <w:highlight w:val="none"/>
                <w:lang w:val="en-US" w:eastAsia="zh-CN"/>
              </w:rPr>
              <w:t>根据</w:t>
            </w:r>
            <w:r>
              <w:rPr>
                <w:rFonts w:hint="eastAsia" w:ascii="Times New Roman" w:hAnsi="Times New Roman"/>
                <w:color w:val="auto"/>
                <w:sz w:val="24"/>
                <w:szCs w:val="24"/>
                <w:highlight w:val="none"/>
              </w:rPr>
              <w:t>《水运工程建设项目环境影响评价指南》（JTS/T</w:t>
            </w:r>
            <w:r>
              <w:rPr>
                <w:rFonts w:hint="eastAsia" w:ascii="Times New Roman" w:hAnsi="Times New Roman"/>
                <w:color w:val="auto"/>
                <w:sz w:val="24"/>
                <w:szCs w:val="24"/>
                <w:highlight w:val="none"/>
                <w:lang w:val="en-US" w:eastAsia="zh-CN"/>
              </w:rPr>
              <w:t xml:space="preserve"> </w:t>
            </w:r>
            <w:r>
              <w:rPr>
                <w:rFonts w:hint="eastAsia" w:ascii="Times New Roman" w:hAnsi="Times New Roman"/>
                <w:color w:val="auto"/>
                <w:sz w:val="24"/>
                <w:szCs w:val="24"/>
                <w:highlight w:val="none"/>
              </w:rPr>
              <w:t>105-2021）</w:t>
            </w:r>
            <w:r>
              <w:rPr>
                <w:rFonts w:ascii="Times New Roman" w:hAnsi="Times New Roman"/>
                <w:color w:val="auto"/>
                <w:sz w:val="24"/>
                <w:szCs w:val="24"/>
                <w:highlight w:val="none"/>
              </w:rPr>
              <w:t>，散货装卸过程产生的粉尘与装卸时风速、散货含水率、落料高度差及装卸效率密切相关。</w:t>
            </w:r>
            <w:r>
              <w:rPr>
                <w:rFonts w:hint="eastAsia"/>
                <w:color w:val="auto"/>
                <w:sz w:val="24"/>
                <w:szCs w:val="24"/>
                <w:highlight w:val="none"/>
                <w:lang w:val="en-US" w:eastAsia="zh-CN"/>
              </w:rPr>
              <w:t>成品作业量128.51t/h，含水率取10%，成品</w:t>
            </w:r>
            <w:r>
              <w:rPr>
                <w:rFonts w:ascii="Times New Roman" w:hAnsi="Times New Roman"/>
                <w:color w:val="auto"/>
                <w:sz w:val="24"/>
                <w:szCs w:val="24"/>
                <w:highlight w:val="none"/>
              </w:rPr>
              <w:t>堆场堆取作业的粉尘污染源强计算公式</w:t>
            </w:r>
            <w:r>
              <w:rPr>
                <w:rFonts w:hint="eastAsia"/>
                <w:color w:val="auto"/>
                <w:sz w:val="24"/>
                <w:szCs w:val="24"/>
                <w:highlight w:val="none"/>
                <w:lang w:val="en-US" w:eastAsia="zh-CN"/>
              </w:rPr>
              <w:t>详见</w:t>
            </w:r>
            <w:r>
              <w:rPr>
                <w:rFonts w:hint="eastAsia"/>
                <w:color w:val="auto"/>
                <w:spacing w:val="-5"/>
                <w:highlight w:val="none"/>
                <w:lang w:val="en-US" w:eastAsia="zh-CN"/>
              </w:rPr>
              <w:t>前文原料堆存计算公式</w:t>
            </w:r>
            <w:r>
              <w:rPr>
                <w:color w:val="auto"/>
                <w:spacing w:val="-5"/>
                <w:highlight w:val="none"/>
              </w:rPr>
              <w:t>。</w:t>
            </w:r>
          </w:p>
          <w:p>
            <w:pPr>
              <w:pStyle w:val="32"/>
              <w:ind w:firstLine="460"/>
              <w:rPr>
                <w:color w:val="auto"/>
                <w:spacing w:val="-5"/>
                <w:highlight w:val="none"/>
              </w:rPr>
            </w:pPr>
            <w:r>
              <w:rPr>
                <w:color w:val="auto"/>
                <w:spacing w:val="-5"/>
                <w:highlight w:val="none"/>
              </w:rPr>
              <w:t>考虑全车间抑尘，</w:t>
            </w:r>
            <w:r>
              <w:rPr>
                <w:rFonts w:hint="eastAsia"/>
                <w:color w:val="auto"/>
                <w:spacing w:val="-5"/>
                <w:highlight w:val="none"/>
                <w:lang w:val="en-US" w:eastAsia="zh-CN"/>
              </w:rPr>
              <w:t>卸矿站设计4套智能高压喷雾抑尘装置。按卸矿位、装矿位、入库通道、堆存区划分4个独立区域，与作业区完全匹配，根据生产作业实际情况，通过控制器实现单区独立喷雾。</w:t>
            </w:r>
            <w:r>
              <w:rPr>
                <w:color w:val="auto"/>
                <w:spacing w:val="-5"/>
                <w:highlight w:val="none"/>
              </w:rPr>
              <w:t>根据生产作业实际情况</w:t>
            </w:r>
            <w:r>
              <w:rPr>
                <w:rFonts w:hint="eastAsia"/>
                <w:color w:val="auto"/>
                <w:spacing w:val="-5"/>
                <w:highlight w:val="none"/>
              </w:rPr>
              <w:t>，</w:t>
            </w:r>
            <w:r>
              <w:rPr>
                <w:color w:val="auto"/>
                <w:spacing w:val="-5"/>
                <w:highlight w:val="none"/>
              </w:rPr>
              <w:t>通过控制器，可以任意开启其中1个抑尘区独立进行喷雾，最多同时开启2个抑尘区。</w:t>
            </w:r>
            <w:r>
              <w:rPr>
                <w:rFonts w:hint="eastAsia"/>
                <w:color w:val="auto"/>
                <w:sz w:val="24"/>
                <w:szCs w:val="24"/>
                <w:highlight w:val="none"/>
                <w:lang w:eastAsia="zh-CN"/>
              </w:rPr>
              <w:t>根据《工业源固体物料堆存颗粒物产排污核算系数手册》，洒水抑尘措施对粉尘的控制效率为74%，封闭式堆场降尘率为99%</w:t>
            </w:r>
            <w:r>
              <w:rPr>
                <w:rFonts w:ascii="Times New Roman" w:hAnsi="Times New Roman"/>
                <w:color w:val="auto"/>
                <w:sz w:val="24"/>
                <w:szCs w:val="24"/>
                <w:highlight w:val="none"/>
              </w:rPr>
              <w:t>。采取上述措施后，</w:t>
            </w:r>
            <w:r>
              <w:rPr>
                <w:rFonts w:hint="eastAsia" w:ascii="Times New Roman" w:hAnsi="Times New Roman"/>
                <w:color w:val="auto"/>
                <w:sz w:val="24"/>
                <w:szCs w:val="24"/>
                <w:highlight w:val="none"/>
                <w:lang w:val="en-US" w:eastAsia="zh-CN"/>
              </w:rPr>
              <w:t>库内</w:t>
            </w:r>
            <w:r>
              <w:rPr>
                <w:rFonts w:ascii="Times New Roman" w:hAnsi="Times New Roman"/>
                <w:color w:val="auto"/>
                <w:sz w:val="24"/>
                <w:szCs w:val="24"/>
                <w:highlight w:val="none"/>
              </w:rPr>
              <w:t>装卸抑尘效果按照</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rFonts w:ascii="Times New Roman" w:hAnsi="Times New Roman"/>
                <w:color w:val="auto"/>
                <w:sz w:val="24"/>
                <w:szCs w:val="24"/>
                <w:highlight w:val="none"/>
              </w:rPr>
              <w:t>计算</w:t>
            </w:r>
            <w:r>
              <w:rPr>
                <w:color w:val="auto"/>
                <w:spacing w:val="-5"/>
                <w:highlight w:val="none"/>
              </w:rPr>
              <w:t>。</w:t>
            </w:r>
          </w:p>
          <w:p>
            <w:pPr>
              <w:spacing w:line="360" w:lineRule="auto"/>
              <w:ind w:firstLine="480" w:firstLineChars="200"/>
              <w:rPr>
                <w:rFonts w:hint="eastAsia" w:eastAsia="宋体"/>
                <w:color w:val="auto"/>
                <w:spacing w:val="-5"/>
                <w:highlight w:val="none"/>
                <w:u w:val="none" w:color="auto"/>
                <w:lang w:eastAsia="zh-CN"/>
              </w:rPr>
            </w:pPr>
            <w:r>
              <w:rPr>
                <w:rFonts w:hint="eastAsia" w:ascii="Times New Roman" w:hAnsi="Times New Roman"/>
                <w:color w:val="auto"/>
                <w:sz w:val="24"/>
                <w:szCs w:val="24"/>
                <w:highlight w:val="none"/>
                <w:lang w:val="en-US" w:eastAsia="zh-CN"/>
              </w:rPr>
              <w:t>根据上述公式计算，卸矿站</w:t>
            </w:r>
            <w:r>
              <w:rPr>
                <w:rFonts w:hint="eastAsia"/>
                <w:color w:val="auto"/>
                <w:sz w:val="24"/>
                <w:szCs w:val="24"/>
                <w:highlight w:val="none"/>
                <w:lang w:val="en-US" w:eastAsia="zh-CN"/>
              </w:rPr>
              <w:t>成品</w:t>
            </w:r>
            <w:r>
              <w:rPr>
                <w:rFonts w:hint="eastAsia" w:ascii="Times New Roman" w:hAnsi="Times New Roman"/>
                <w:color w:val="auto"/>
                <w:sz w:val="24"/>
                <w:szCs w:val="24"/>
                <w:highlight w:val="none"/>
                <w:lang w:val="en-US" w:eastAsia="zh-CN"/>
              </w:rPr>
              <w:t>堆场装卸过程粉尘产生量</w:t>
            </w:r>
            <w:r>
              <w:rPr>
                <w:rFonts w:hint="eastAsia"/>
                <w:color w:val="auto"/>
                <w:sz w:val="24"/>
                <w:szCs w:val="24"/>
                <w:highlight w:val="none"/>
                <w:lang w:val="en-US" w:eastAsia="zh-CN"/>
              </w:rPr>
              <w:t>和排放量详见下表</w:t>
            </w:r>
            <w:r>
              <w:rPr>
                <w:rFonts w:hint="eastAsia"/>
                <w:color w:val="auto"/>
                <w:spacing w:val="-5"/>
                <w:highlight w:val="none"/>
                <w:u w:val="none" w:color="auto"/>
                <w:lang w:eastAsia="zh-CN"/>
              </w:rPr>
              <w:t>：</w:t>
            </w:r>
          </w:p>
          <w:p>
            <w:pPr>
              <w:pStyle w:val="33"/>
              <w:outlineLvl w:val="4"/>
              <w:rPr>
                <w:rFonts w:hint="eastAsia" w:eastAsia="宋体" w:cs="Times New Roman"/>
                <w:color w:val="auto"/>
                <w:highlight w:val="none"/>
                <w:lang w:val="en-US" w:eastAsia="zh-CN"/>
              </w:rPr>
            </w:pPr>
            <w:r>
              <w:rPr>
                <w:rFonts w:hint="eastAsia" w:eastAsia="宋体" w:cs="Times New Roman"/>
                <w:color w:val="auto"/>
                <w:highlight w:val="none"/>
                <w:lang w:val="en-US" w:eastAsia="zh-CN"/>
              </w:rPr>
              <w:t xml:space="preserve">表4.2.8  </w:t>
            </w:r>
            <w:r>
              <w:rPr>
                <w:rFonts w:hint="eastAsia" w:ascii="Times New Roman" w:hAnsi="Times New Roman" w:eastAsia="宋体" w:cs="Times New Roman"/>
                <w:color w:val="auto"/>
                <w:highlight w:val="none"/>
                <w:lang w:val="en-US" w:eastAsia="zh-CN"/>
              </w:rPr>
              <w:t>混矿库</w:t>
            </w:r>
            <w:r>
              <w:rPr>
                <w:rFonts w:hint="eastAsia" w:eastAsia="宋体" w:cs="Times New Roman"/>
                <w:color w:val="auto"/>
                <w:highlight w:val="none"/>
                <w:lang w:val="en-US" w:eastAsia="zh-CN"/>
              </w:rPr>
              <w:t>成品</w:t>
            </w:r>
            <w:r>
              <w:rPr>
                <w:rFonts w:hint="eastAsia" w:ascii="Times New Roman" w:hAnsi="Times New Roman"/>
                <w:color w:val="auto"/>
                <w:sz w:val="24"/>
                <w:szCs w:val="24"/>
                <w:highlight w:val="none"/>
                <w:lang w:val="en-US" w:eastAsia="zh-CN"/>
              </w:rPr>
              <w:t>堆场</w:t>
            </w:r>
            <w:r>
              <w:rPr>
                <w:rFonts w:hint="eastAsia" w:eastAsia="宋体" w:cs="Times New Roman"/>
                <w:color w:val="auto"/>
                <w:highlight w:val="none"/>
                <w:lang w:val="en-US" w:eastAsia="zh-CN"/>
              </w:rPr>
              <w:t>装卸过程粉尘产排情况一览表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1098"/>
              <w:gridCol w:w="1238"/>
              <w:gridCol w:w="1109"/>
              <w:gridCol w:w="2010"/>
              <w:gridCol w:w="844"/>
              <w:gridCol w:w="95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污染源</w:t>
                  </w:r>
                </w:p>
              </w:tc>
              <w:tc>
                <w:tcPr>
                  <w:tcW w:w="599"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污染物名称</w:t>
                  </w:r>
                </w:p>
              </w:tc>
              <w:tc>
                <w:tcPr>
                  <w:tcW w:w="1280"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产生情况</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治理措施</w:t>
                  </w:r>
                </w:p>
              </w:tc>
              <w:tc>
                <w:tcPr>
                  <w:tcW w:w="983" w:type="pct"/>
                  <w:gridSpan w:val="2"/>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排放情况</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Merge w:val="continue"/>
                  <w:vAlign w:val="center"/>
                </w:tcPr>
                <w:p>
                  <w:pPr>
                    <w:pStyle w:val="39"/>
                    <w:spacing w:line="300" w:lineRule="exact"/>
                    <w:rPr>
                      <w:rFonts w:ascii="Times New Roman" w:hAnsi="Times New Roman" w:eastAsia="宋体" w:cs="Times New Roman"/>
                      <w:color w:val="auto"/>
                      <w:highlight w:val="none"/>
                    </w:rPr>
                  </w:pPr>
                </w:p>
              </w:tc>
              <w:tc>
                <w:tcPr>
                  <w:tcW w:w="67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产生量t/a</w:t>
                  </w:r>
                </w:p>
              </w:tc>
              <w:tc>
                <w:tcPr>
                  <w:tcW w:w="605"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1096" w:type="pct"/>
                  <w:vMerge w:val="continue"/>
                  <w:vAlign w:val="center"/>
                </w:tcPr>
                <w:p>
                  <w:pPr>
                    <w:pStyle w:val="39"/>
                    <w:spacing w:line="300" w:lineRule="exact"/>
                    <w:rPr>
                      <w:rFonts w:ascii="Times New Roman" w:hAnsi="Times New Roman" w:eastAsia="宋体" w:cs="Times New Roman"/>
                      <w:color w:val="auto"/>
                      <w:highlight w:val="none"/>
                    </w:rPr>
                  </w:pPr>
                </w:p>
              </w:tc>
              <w:tc>
                <w:tcPr>
                  <w:tcW w:w="460"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排放量t/a</w:t>
                  </w:r>
                </w:p>
              </w:tc>
              <w:tc>
                <w:tcPr>
                  <w:tcW w:w="523"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速率kg/h</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653" w:type="pct"/>
                  <w:vMerge w:val="restar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卸矿站成品</w:t>
                  </w:r>
                  <w:r>
                    <w:rPr>
                      <w:rFonts w:hint="eastAsia" w:eastAsia="宋体" w:cs="Times New Roman"/>
                      <w:color w:val="auto"/>
                      <w:highlight w:val="none"/>
                      <w:lang w:val="en-US" w:eastAsia="zh-CN"/>
                    </w:rPr>
                    <w:t>装卸</w:t>
                  </w:r>
                </w:p>
              </w:tc>
              <w:tc>
                <w:tcPr>
                  <w:tcW w:w="599" w:type="pct"/>
                  <w:vAlign w:val="center"/>
                </w:tcPr>
                <w:p>
                  <w:pPr>
                    <w:pStyle w:val="39"/>
                    <w:spacing w:line="300" w:lineRule="exact"/>
                    <w:rPr>
                      <w:rFonts w:hint="eastAsia" w:ascii="Times New Roman" w:hAnsi="Times New Roman" w:eastAsia="宋体" w:cs="Times New Roman"/>
                      <w:color w:val="auto"/>
                      <w:highlight w:val="none"/>
                      <w:lang w:eastAsia="zh-CN"/>
                    </w:rPr>
                  </w:pPr>
                  <w:r>
                    <w:rPr>
                      <w:rFonts w:hint="eastAsia" w:eastAsia="宋体" w:cs="Times New Roman"/>
                      <w:color w:val="auto"/>
                      <w:highlight w:val="none"/>
                      <w:lang w:val="en-US" w:eastAsia="zh-CN"/>
                    </w:rPr>
                    <w:t>TSP</w:t>
                  </w:r>
                </w:p>
              </w:tc>
              <w:tc>
                <w:tcPr>
                  <w:tcW w:w="1238"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9.123 </w:t>
                  </w:r>
                </w:p>
              </w:tc>
              <w:tc>
                <w:tcPr>
                  <w:tcW w:w="110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1.152 </w:t>
                  </w:r>
                </w:p>
              </w:tc>
              <w:tc>
                <w:tcPr>
                  <w:tcW w:w="1096"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智能高压喷雾抑尘装置抑尘</w:t>
                  </w:r>
                  <w:r>
                    <w:rPr>
                      <w:rFonts w:hint="eastAsia" w:eastAsia="宋体" w:cs="Times New Roman"/>
                      <w:color w:val="auto"/>
                      <w:highlight w:val="none"/>
                      <w:lang w:eastAsia="zh-CN"/>
                    </w:rPr>
                    <w:t>；</w:t>
                  </w:r>
                  <w:r>
                    <w:rPr>
                      <w:rFonts w:hint="eastAsia" w:cs="Times New Roman"/>
                      <w:color w:val="auto"/>
                      <w:highlight w:val="none"/>
                      <w:lang w:eastAsia="zh-CN"/>
                    </w:rPr>
                    <w:t>封闭</w:t>
                  </w:r>
                  <w:r>
                    <w:rPr>
                      <w:rFonts w:ascii="Times New Roman" w:hAnsi="Times New Roman" w:eastAsia="宋体" w:cs="Times New Roman"/>
                      <w:color w:val="auto"/>
                      <w:highlight w:val="none"/>
                    </w:rPr>
                    <w:t>车间</w:t>
                  </w:r>
                </w:p>
              </w:tc>
              <w:tc>
                <w:tcPr>
                  <w:tcW w:w="844"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 </w:t>
                  </w:r>
                </w:p>
              </w:tc>
              <w:tc>
                <w:tcPr>
                  <w:tcW w:w="959" w:type="dxa"/>
                  <w:vAlign w:val="center"/>
                </w:tcPr>
                <w:p>
                  <w:pPr>
                    <w:keepNext w:val="0"/>
                    <w:keepLines w:val="0"/>
                    <w:widowControl/>
                    <w:suppressLineNumbers w:val="0"/>
                    <w:jc w:val="center"/>
                    <w:textAlignment w:val="center"/>
                    <w:rPr>
                      <w:rFonts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385" w:type="pct"/>
                  <w:vMerge w:val="restar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eastAsia="宋体" w:cs="Times New Roman"/>
                      <w:color w:val="auto"/>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pct"/>
                  <w:vMerge w:val="continue"/>
                  <w:vAlign w:val="center"/>
                </w:tcPr>
                <w:p>
                  <w:pPr>
                    <w:pStyle w:val="39"/>
                    <w:spacing w:line="300" w:lineRule="exact"/>
                    <w:rPr>
                      <w:rFonts w:ascii="Times New Roman" w:hAnsi="Times New Roman" w:eastAsia="宋体" w:cs="Times New Roman"/>
                      <w:color w:val="auto"/>
                      <w:highlight w:val="none"/>
                    </w:rPr>
                  </w:pPr>
                </w:p>
              </w:tc>
              <w:tc>
                <w:tcPr>
                  <w:tcW w:w="599" w:type="pct"/>
                  <w:vAlign w:val="center"/>
                </w:tcPr>
                <w:p>
                  <w:pPr>
                    <w:pStyle w:val="39"/>
                    <w:spacing w:line="300" w:lineRule="exact"/>
                    <w:rPr>
                      <w:rFonts w:ascii="Times New Roman" w:hAnsi="Times New Roman" w:eastAsia="宋体" w:cs="Times New Roman"/>
                      <w:color w:val="auto"/>
                      <w:highlight w:val="none"/>
                    </w:rPr>
                  </w:pPr>
                  <w:r>
                    <w:rPr>
                      <w:rFonts w:ascii="Times New Roman" w:hAnsi="Times New Roman"/>
                      <w:snapToGrid w:val="0"/>
                      <w:color w:val="auto"/>
                      <w:szCs w:val="21"/>
                      <w:highlight w:val="none"/>
                    </w:rPr>
                    <w:t>PM</w:t>
                  </w:r>
                  <w:r>
                    <w:rPr>
                      <w:rFonts w:ascii="Times New Roman" w:hAnsi="Times New Roman"/>
                      <w:snapToGrid w:val="0"/>
                      <w:color w:val="auto"/>
                      <w:szCs w:val="21"/>
                      <w:highlight w:val="none"/>
                      <w:vertAlign w:val="subscript"/>
                    </w:rPr>
                    <w:t>10</w:t>
                  </w:r>
                </w:p>
              </w:tc>
              <w:tc>
                <w:tcPr>
                  <w:tcW w:w="1238"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3.966 </w:t>
                  </w:r>
                </w:p>
              </w:tc>
              <w:tc>
                <w:tcPr>
                  <w:tcW w:w="110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0.501 </w:t>
                  </w:r>
                </w:p>
              </w:tc>
              <w:tc>
                <w:tcPr>
                  <w:tcW w:w="1096" w:type="pct"/>
                  <w:vMerge w:val="continue"/>
                  <w:vAlign w:val="center"/>
                </w:tcPr>
                <w:p>
                  <w:pPr>
                    <w:pStyle w:val="39"/>
                    <w:spacing w:line="300" w:lineRule="exact"/>
                    <w:rPr>
                      <w:rFonts w:hint="default" w:ascii="Times New Roman" w:hAnsi="Times New Roman" w:eastAsia="宋体" w:cs="Times New Roman"/>
                      <w:color w:val="auto"/>
                      <w:highlight w:val="none"/>
                      <w:lang w:val="en-US" w:eastAsia="zh-CN"/>
                    </w:rPr>
                  </w:pPr>
                </w:p>
              </w:tc>
              <w:tc>
                <w:tcPr>
                  <w:tcW w:w="84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 </w:t>
                  </w:r>
                </w:p>
              </w:tc>
              <w:tc>
                <w:tcPr>
                  <w:tcW w:w="95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385" w:type="pct"/>
                  <w:vMerge w:val="continue"/>
                  <w:vAlign w:val="center"/>
                </w:tcPr>
                <w:p>
                  <w:pPr>
                    <w:pStyle w:val="39"/>
                    <w:spacing w:line="300" w:lineRule="exact"/>
                    <w:rPr>
                      <w:rFonts w:ascii="Times New Roman" w:hAnsi="Times New Roman" w:eastAsia="宋体" w:cs="Times New Roman"/>
                      <w:color w:val="auto"/>
                      <w:highlight w:val="none"/>
                    </w:rPr>
                  </w:pPr>
                </w:p>
              </w:tc>
            </w:tr>
          </w:tbl>
          <w:p>
            <w:pPr>
              <w:pStyle w:val="32"/>
              <w:ind w:firstLine="480"/>
              <w:rPr>
                <w:rFonts w:hint="eastAsia"/>
                <w:color w:val="auto"/>
                <w:sz w:val="24"/>
                <w:szCs w:val="24"/>
                <w:highlight w:val="none"/>
                <w:lang w:val="en-US" w:eastAsia="zh-CN"/>
              </w:rPr>
            </w:pP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③</w:t>
            </w:r>
            <w:r>
              <w:rPr>
                <w:rFonts w:hint="eastAsia" w:ascii="Times New Roman" w:hAnsi="Times New Roman" w:eastAsia="宋体" w:cs="Times New Roman"/>
                <w:color w:val="auto"/>
                <w:sz w:val="24"/>
                <w:highlight w:val="none"/>
                <w:lang w:val="en-US" w:eastAsia="zh-CN"/>
              </w:rPr>
              <w:t>6#</w:t>
            </w:r>
            <w:r>
              <w:rPr>
                <w:rFonts w:hint="eastAsia"/>
                <w:color w:val="auto"/>
                <w:sz w:val="24"/>
                <w:highlight w:val="none"/>
                <w:lang w:val="en-US" w:eastAsia="zh-CN"/>
              </w:rPr>
              <w:t>胶带输送机卸料粉尘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成品矿经料仓下面的6#胶带输送机S-12转运至2#胶带输送机，6#</w:t>
            </w:r>
            <w:r>
              <w:rPr>
                <w:rFonts w:hint="default"/>
                <w:color w:val="auto"/>
                <w:sz w:val="24"/>
                <w:highlight w:val="none"/>
                <w:lang w:val="en-US" w:eastAsia="zh-CN"/>
              </w:rPr>
              <w:t>胶带头部卸料点会产生粉尘，参照《逸散性粉尘控制技术》，落料过程中产生的粉尘量为0.01kg/t-料，</w:t>
            </w:r>
            <w:r>
              <w:rPr>
                <w:rFonts w:hint="eastAsia"/>
                <w:color w:val="auto"/>
                <w:sz w:val="24"/>
                <w:highlight w:val="none"/>
                <w:lang w:val="en-US" w:eastAsia="zh-CN"/>
              </w:rPr>
              <w:t>6#胶带输送机</w:t>
            </w:r>
            <w:r>
              <w:rPr>
                <w:rFonts w:hint="default"/>
                <w:color w:val="auto"/>
                <w:sz w:val="24"/>
                <w:highlight w:val="none"/>
                <w:lang w:val="en-US" w:eastAsia="zh-CN"/>
              </w:rPr>
              <w:t>输送</w:t>
            </w:r>
            <w:r>
              <w:rPr>
                <w:rFonts w:hint="eastAsia"/>
                <w:color w:val="auto"/>
                <w:sz w:val="24"/>
                <w:highlight w:val="none"/>
                <w:lang w:val="en-US" w:eastAsia="zh-CN"/>
              </w:rPr>
              <w:t>成品</w:t>
            </w:r>
            <w:r>
              <w:rPr>
                <w:rFonts w:hint="default"/>
                <w:color w:val="auto"/>
                <w:sz w:val="24"/>
                <w:highlight w:val="none"/>
                <w:lang w:val="en-US" w:eastAsia="zh-CN"/>
              </w:rPr>
              <w:t>铜精矿</w:t>
            </w:r>
            <w:r>
              <w:rPr>
                <w:rFonts w:hint="eastAsia"/>
                <w:color w:val="auto"/>
                <w:sz w:val="24"/>
                <w:highlight w:val="none"/>
                <w:lang w:val="en-US" w:eastAsia="zh-CN"/>
              </w:rPr>
              <w:t>1017781.94</w:t>
            </w:r>
            <w:r>
              <w:rPr>
                <w:rFonts w:hint="default"/>
                <w:color w:val="auto"/>
                <w:sz w:val="24"/>
                <w:highlight w:val="none"/>
                <w:lang w:val="en-US" w:eastAsia="zh-CN"/>
              </w:rPr>
              <w:t>t/a，</w:t>
            </w:r>
            <w:r>
              <w:rPr>
                <w:rFonts w:hint="eastAsia"/>
                <w:color w:val="auto"/>
                <w:sz w:val="24"/>
                <w:highlight w:val="none"/>
                <w:lang w:val="en-US" w:eastAsia="zh-CN"/>
              </w:rPr>
              <w:t>6#胶带输送机</w:t>
            </w:r>
            <w:r>
              <w:rPr>
                <w:rFonts w:hint="default"/>
                <w:color w:val="auto"/>
                <w:sz w:val="24"/>
                <w:highlight w:val="none"/>
                <w:lang w:val="en-US" w:eastAsia="zh-CN"/>
              </w:rPr>
              <w:t>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80"/>
              <w:rPr>
                <w:rFonts w:hint="eastAsia"/>
                <w:color w:val="auto"/>
                <w:szCs w:val="21"/>
                <w:highlight w:val="none"/>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1.018</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color w:val="auto"/>
                <w:spacing w:val="-5"/>
                <w:highlight w:val="none"/>
              </w:rPr>
              <w:t>，则</w:t>
            </w:r>
            <w:r>
              <w:rPr>
                <w:rFonts w:hint="eastAsia"/>
                <w:color w:val="auto"/>
                <w:sz w:val="24"/>
                <w:highlight w:val="none"/>
                <w:lang w:val="en-US" w:eastAsia="zh-CN"/>
              </w:rPr>
              <w:t>6</w:t>
            </w:r>
            <w:r>
              <w:rPr>
                <w:rFonts w:hint="default"/>
                <w:color w:val="auto"/>
                <w:sz w:val="24"/>
                <w:highlight w:val="none"/>
                <w:lang w:val="en-US" w:eastAsia="zh-CN"/>
              </w:rPr>
              <w:t>#胶带输送机</w:t>
            </w:r>
            <w:r>
              <w:rPr>
                <w:color w:val="auto"/>
                <w:spacing w:val="-5"/>
                <w:highlight w:val="none"/>
              </w:rPr>
              <w:t>输送无组织排放量为0.</w:t>
            </w:r>
            <w:r>
              <w:rPr>
                <w:rFonts w:hint="eastAsia"/>
                <w:color w:val="auto"/>
                <w:spacing w:val="-5"/>
                <w:highlight w:val="none"/>
                <w:lang w:val="en-US" w:eastAsia="zh-CN"/>
              </w:rPr>
              <w:t>003</w:t>
            </w:r>
            <w:r>
              <w:rPr>
                <w:color w:val="auto"/>
                <w:spacing w:val="-5"/>
                <w:highlight w:val="none"/>
              </w:rPr>
              <w:t>t/a</w:t>
            </w:r>
            <w:r>
              <w:rPr>
                <w:rFonts w:ascii="Times New Roman" w:hAnsi="Times New Roman"/>
                <w:color w:val="auto"/>
                <w:sz w:val="24"/>
                <w:szCs w:val="24"/>
                <w:highlight w:val="none"/>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4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val="en-US" w:eastAsia="zh-CN"/>
              </w:rPr>
              <w:fldChar w:fldCharType="end"/>
            </w:r>
            <w:r>
              <w:rPr>
                <w:rFonts w:hint="eastAsia" w:ascii="Times New Roman" w:hAnsi="Times New Roman" w:eastAsia="宋体" w:cs="Times New Roman"/>
                <w:color w:val="auto"/>
                <w:sz w:val="24"/>
                <w:szCs w:val="24"/>
                <w:highlight w:val="none"/>
                <w:lang w:val="en-US" w:eastAsia="zh-CN"/>
              </w:rPr>
              <w:t>2#胶带输送机</w:t>
            </w:r>
            <w:r>
              <w:rPr>
                <w:rFonts w:hint="eastAsia"/>
                <w:color w:val="auto"/>
                <w:sz w:val="24"/>
                <w:highlight w:val="none"/>
                <w:lang w:val="en-US" w:eastAsia="zh-CN"/>
              </w:rPr>
              <w:t>卸料粉尘</w:t>
            </w:r>
          </w:p>
          <w:p>
            <w:pPr>
              <w:spacing w:line="360" w:lineRule="auto"/>
              <w:ind w:firstLine="480" w:firstLineChars="200"/>
              <w:rPr>
                <w:rFonts w:hint="default"/>
                <w:color w:val="auto"/>
                <w:sz w:val="24"/>
                <w:highlight w:val="none"/>
                <w:lang w:val="en-US" w:eastAsia="zh-CN"/>
              </w:rPr>
            </w:pPr>
            <w:r>
              <w:rPr>
                <w:rFonts w:hint="eastAsia"/>
                <w:color w:val="auto"/>
                <w:sz w:val="24"/>
                <w:highlight w:val="none"/>
                <w:lang w:val="en-US" w:eastAsia="zh-CN"/>
              </w:rPr>
              <w:t>转运至2#胶带输送机S-5上，再由该输送机落料至室外出料管状胶带机中，2#</w:t>
            </w:r>
            <w:r>
              <w:rPr>
                <w:rFonts w:hint="default"/>
                <w:color w:val="auto"/>
                <w:sz w:val="24"/>
                <w:highlight w:val="none"/>
                <w:lang w:val="en-US" w:eastAsia="zh-CN"/>
              </w:rPr>
              <w:t>胶带头部卸料点会产生粉尘，参照《逸散性粉尘控制技术》，落料过程中产生的粉尘量为0.01kg/t-料，输送</w:t>
            </w:r>
            <w:r>
              <w:rPr>
                <w:rFonts w:hint="eastAsia"/>
                <w:color w:val="auto"/>
                <w:sz w:val="24"/>
                <w:highlight w:val="none"/>
                <w:lang w:val="en-US" w:eastAsia="zh-CN"/>
              </w:rPr>
              <w:t>成品</w:t>
            </w:r>
            <w:r>
              <w:rPr>
                <w:rFonts w:hint="default"/>
                <w:color w:val="auto"/>
                <w:sz w:val="24"/>
                <w:highlight w:val="none"/>
                <w:lang w:val="en-US" w:eastAsia="zh-CN"/>
              </w:rPr>
              <w:t>铜精矿</w:t>
            </w:r>
            <w:r>
              <w:rPr>
                <w:rFonts w:hint="eastAsia"/>
                <w:color w:val="auto"/>
                <w:sz w:val="24"/>
                <w:highlight w:val="none"/>
                <w:lang w:val="en-US" w:eastAsia="zh-CN"/>
              </w:rPr>
              <w:t>1017771.76</w:t>
            </w:r>
            <w:r>
              <w:rPr>
                <w:rFonts w:hint="default"/>
                <w:color w:val="auto"/>
                <w:sz w:val="24"/>
                <w:highlight w:val="none"/>
                <w:lang w:val="en-US" w:eastAsia="zh-CN"/>
              </w:rPr>
              <w:t>t/a，</w:t>
            </w:r>
            <w:r>
              <w:rPr>
                <w:rFonts w:hint="eastAsia"/>
                <w:color w:val="auto"/>
                <w:sz w:val="24"/>
                <w:highlight w:val="none"/>
                <w:lang w:val="en-US" w:eastAsia="zh-CN"/>
              </w:rPr>
              <w:t>2#胶带输送机</w:t>
            </w:r>
            <w:r>
              <w:rPr>
                <w:rFonts w:hint="default"/>
                <w:color w:val="auto"/>
                <w:sz w:val="24"/>
                <w:highlight w:val="none"/>
                <w:lang w:val="en-US" w:eastAsia="zh-CN"/>
              </w:rPr>
              <w:t>卸料产生的粉尘量</w:t>
            </w:r>
            <w:r>
              <w:rPr>
                <w:rFonts w:hint="eastAsia"/>
                <w:color w:val="auto"/>
                <w:sz w:val="24"/>
                <w:highlight w:val="none"/>
                <w:lang w:val="en-US" w:eastAsia="zh-CN"/>
              </w:rPr>
              <w:t>约10.18</w:t>
            </w:r>
            <w:r>
              <w:rPr>
                <w:rFonts w:hint="default"/>
                <w:color w:val="auto"/>
                <w:sz w:val="24"/>
                <w:highlight w:val="none"/>
                <w:lang w:val="en-US" w:eastAsia="zh-CN"/>
              </w:rPr>
              <w:t>t/a。</w:t>
            </w:r>
          </w:p>
          <w:p>
            <w:pPr>
              <w:pStyle w:val="32"/>
              <w:ind w:firstLine="460"/>
              <w:rPr>
                <w:color w:val="auto"/>
                <w:spacing w:val="-5"/>
                <w:highlight w:val="none"/>
              </w:rPr>
            </w:pPr>
            <w:r>
              <w:rPr>
                <w:color w:val="auto"/>
                <w:spacing w:val="-5"/>
                <w:highlight w:val="none"/>
              </w:rPr>
              <w:t>拟在</w:t>
            </w:r>
            <w:r>
              <w:rPr>
                <w:rFonts w:hint="eastAsia"/>
                <w:color w:val="auto"/>
                <w:spacing w:val="-5"/>
                <w:highlight w:val="none"/>
                <w:lang w:val="en-US" w:eastAsia="zh-CN"/>
              </w:rPr>
              <w:t>胶</w:t>
            </w:r>
            <w:r>
              <w:rPr>
                <w:rFonts w:hint="eastAsia"/>
                <w:color w:val="auto"/>
                <w:szCs w:val="21"/>
                <w:highlight w:val="none"/>
              </w:rPr>
              <w:t>带头部卸料点</w:t>
            </w:r>
            <w:r>
              <w:rPr>
                <w:color w:val="auto"/>
                <w:spacing w:val="-5"/>
                <w:highlight w:val="none"/>
              </w:rPr>
              <w:t>设置</w:t>
            </w:r>
            <w:r>
              <w:rPr>
                <w:rFonts w:hint="eastAsia"/>
                <w:color w:val="auto"/>
                <w:szCs w:val="21"/>
                <w:highlight w:val="none"/>
              </w:rPr>
              <w:t>局部抽风，</w:t>
            </w:r>
            <w:r>
              <w:rPr>
                <w:color w:val="auto"/>
                <w:spacing w:val="-5"/>
                <w:highlight w:val="none"/>
              </w:rPr>
              <w:t>对粉尘进行负压收集，</w:t>
            </w:r>
            <w:r>
              <w:rPr>
                <w:rFonts w:hint="eastAsia"/>
                <w:color w:val="auto"/>
                <w:spacing w:val="-5"/>
                <w:highlight w:val="none"/>
              </w:rPr>
              <w:t>离心</w:t>
            </w:r>
            <w:r>
              <w:rPr>
                <w:color w:val="auto"/>
                <w:spacing w:val="-5"/>
                <w:highlight w:val="none"/>
              </w:rPr>
              <w:t>风机总风量4</w:t>
            </w:r>
            <w:r>
              <w:rPr>
                <w:rFonts w:hint="eastAsia"/>
                <w:color w:val="auto"/>
                <w:spacing w:val="-5"/>
                <w:highlight w:val="none"/>
                <w:lang w:val="en-US" w:eastAsia="zh-CN"/>
              </w:rPr>
              <w:t>8</w:t>
            </w:r>
            <w:r>
              <w:rPr>
                <w:color w:val="auto"/>
                <w:spacing w:val="-5"/>
                <w:highlight w:val="none"/>
              </w:rPr>
              <w:t>000Nm</w:t>
            </w:r>
            <w:r>
              <w:rPr>
                <w:color w:val="auto"/>
                <w:spacing w:val="-5"/>
                <w:highlight w:val="none"/>
                <w:vertAlign w:val="superscript"/>
              </w:rPr>
              <w:t>3</w:t>
            </w:r>
            <w:r>
              <w:rPr>
                <w:color w:val="auto"/>
                <w:spacing w:val="-5"/>
                <w:highlight w:val="none"/>
              </w:rPr>
              <w:t>/h，粉尘收集效率为90%，收集后进入</w:t>
            </w:r>
            <w:r>
              <w:rPr>
                <w:rFonts w:hint="default"/>
                <w:color w:val="auto"/>
                <w:spacing w:val="-5"/>
                <w:highlight w:val="none"/>
                <w:lang w:val="en-US" w:eastAsia="zh-CN"/>
              </w:rPr>
              <w:t>塑烧板</w:t>
            </w:r>
            <w:r>
              <w:rPr>
                <w:rFonts w:hint="default"/>
                <w:color w:val="auto"/>
                <w:spacing w:val="-5"/>
                <w:highlight w:val="none"/>
              </w:rPr>
              <w:t>除尘器</w:t>
            </w:r>
            <w:r>
              <w:rPr>
                <w:rFonts w:hint="eastAsia"/>
                <w:color w:val="auto"/>
                <w:szCs w:val="21"/>
                <w:highlight w:val="none"/>
              </w:rPr>
              <w:t>处理，</w:t>
            </w:r>
            <w:r>
              <w:rPr>
                <w:color w:val="auto"/>
                <w:spacing w:val="-5"/>
                <w:highlight w:val="none"/>
              </w:rPr>
              <w:t>除尘效率</w:t>
            </w:r>
            <w:r>
              <w:rPr>
                <w:rFonts w:hint="eastAsia"/>
                <w:color w:val="auto"/>
                <w:spacing w:val="-5"/>
                <w:highlight w:val="none"/>
              </w:rPr>
              <w:t>取</w:t>
            </w:r>
            <w:r>
              <w:rPr>
                <w:color w:val="auto"/>
                <w:spacing w:val="-5"/>
                <w:highlight w:val="none"/>
              </w:rPr>
              <w:t>99</w:t>
            </w:r>
            <w:r>
              <w:rPr>
                <w:rFonts w:hint="eastAsia"/>
                <w:color w:val="auto"/>
                <w:spacing w:val="-5"/>
                <w:highlight w:val="none"/>
                <w:lang w:val="en-US" w:eastAsia="zh-CN"/>
              </w:rPr>
              <w:t>.5</w:t>
            </w:r>
            <w:r>
              <w:rPr>
                <w:color w:val="auto"/>
                <w:spacing w:val="-5"/>
                <w:highlight w:val="none"/>
              </w:rPr>
              <w:t>%</w:t>
            </w:r>
            <w:r>
              <w:rPr>
                <w:rFonts w:hint="eastAsia"/>
                <w:color w:val="auto"/>
                <w:spacing w:val="-5"/>
                <w:highlight w:val="none"/>
              </w:rPr>
              <w:t>，最后</w:t>
            </w:r>
            <w:r>
              <w:rPr>
                <w:color w:val="auto"/>
                <w:spacing w:val="-5"/>
                <w:highlight w:val="none"/>
              </w:rPr>
              <w:t>通过15m高排</w:t>
            </w:r>
            <w:r>
              <w:rPr>
                <w:rFonts w:hint="eastAsia"/>
                <w:color w:val="auto"/>
                <w:spacing w:val="-5"/>
                <w:highlight w:val="none"/>
              </w:rPr>
              <w:t>气筒</w:t>
            </w:r>
            <w:r>
              <w:rPr>
                <w:rFonts w:hint="eastAsia"/>
                <w:color w:val="auto"/>
                <w:szCs w:val="21"/>
                <w:highlight w:val="none"/>
              </w:rPr>
              <w:t>（DA00</w:t>
            </w:r>
            <w:r>
              <w:rPr>
                <w:rFonts w:hint="eastAsia"/>
                <w:color w:val="auto"/>
                <w:szCs w:val="21"/>
                <w:highlight w:val="none"/>
                <w:lang w:val="en-US" w:eastAsia="zh-CN"/>
              </w:rPr>
              <w:t>2</w:t>
            </w:r>
            <w:r>
              <w:rPr>
                <w:rFonts w:hint="eastAsia"/>
                <w:color w:val="auto"/>
                <w:szCs w:val="21"/>
                <w:highlight w:val="none"/>
              </w:rPr>
              <w:t>）</w:t>
            </w:r>
            <w:r>
              <w:rPr>
                <w:color w:val="auto"/>
                <w:spacing w:val="-5"/>
                <w:highlight w:val="none"/>
              </w:rPr>
              <w:t>排放。</w:t>
            </w:r>
          </w:p>
          <w:p>
            <w:pPr>
              <w:pStyle w:val="32"/>
              <w:ind w:firstLine="480"/>
              <w:rPr>
                <w:rFonts w:hint="eastAsia"/>
                <w:color w:val="auto"/>
                <w:sz w:val="24"/>
                <w:highlight w:val="none"/>
                <w:lang w:val="en-US" w:eastAsia="zh-CN"/>
              </w:rPr>
            </w:pPr>
            <w:r>
              <w:rPr>
                <w:rFonts w:hint="eastAsia"/>
                <w:color w:val="auto"/>
                <w:spacing w:val="-5"/>
                <w:highlight w:val="none"/>
              </w:rPr>
              <w:t>未经收集的</w:t>
            </w:r>
            <w:r>
              <w:rPr>
                <w:color w:val="auto"/>
                <w:spacing w:val="-5"/>
                <w:highlight w:val="none"/>
              </w:rPr>
              <w:t>粉尘</w:t>
            </w:r>
            <w:r>
              <w:rPr>
                <w:rFonts w:hint="eastAsia"/>
                <w:color w:val="auto"/>
                <w:spacing w:val="-5"/>
                <w:highlight w:val="none"/>
              </w:rPr>
              <w:t>（</w:t>
            </w:r>
            <w:r>
              <w:rPr>
                <w:rFonts w:hint="eastAsia"/>
                <w:color w:val="auto"/>
                <w:spacing w:val="-5"/>
                <w:highlight w:val="none"/>
                <w:lang w:val="en-US" w:eastAsia="zh-CN"/>
              </w:rPr>
              <w:t>1.018</w:t>
            </w:r>
            <w:r>
              <w:rPr>
                <w:rFonts w:hint="eastAsia"/>
                <w:color w:val="auto"/>
                <w:spacing w:val="-5"/>
                <w:highlight w:val="none"/>
              </w:rPr>
              <w:t>t/a）</w:t>
            </w:r>
            <w:r>
              <w:rPr>
                <w:color w:val="auto"/>
                <w:spacing w:val="-5"/>
                <w:highlight w:val="none"/>
              </w:rPr>
              <w:t>经车间内</w:t>
            </w:r>
            <w:r>
              <w:rPr>
                <w:rFonts w:hint="eastAsia"/>
                <w:color w:val="auto"/>
                <w:spacing w:val="-5"/>
                <w:highlight w:val="none"/>
              </w:rPr>
              <w:t>智能高压喷雾抑尘装置</w:t>
            </w:r>
            <w:r>
              <w:rPr>
                <w:color w:val="auto"/>
                <w:spacing w:val="-5"/>
                <w:highlight w:val="none"/>
              </w:rPr>
              <w:t>降尘后沉降在</w:t>
            </w:r>
            <w:r>
              <w:rPr>
                <w:rFonts w:hint="eastAsia"/>
                <w:color w:val="auto"/>
                <w:spacing w:val="-5"/>
                <w:highlight w:val="none"/>
                <w:lang w:eastAsia="zh-CN"/>
              </w:rPr>
              <w:t>封闭</w:t>
            </w:r>
            <w:r>
              <w:rPr>
                <w:color w:val="auto"/>
                <w:spacing w:val="-5"/>
                <w:highlight w:val="none"/>
              </w:rPr>
              <w:t>生产车间内，</w:t>
            </w:r>
            <w:r>
              <w:rPr>
                <w:rFonts w:hint="eastAsia"/>
                <w:color w:val="auto"/>
                <w:sz w:val="24"/>
                <w:highlight w:val="none"/>
                <w:lang w:val="en-US" w:eastAsia="zh-CN"/>
              </w:rPr>
              <w:t>抑尘率</w:t>
            </w:r>
            <w:r>
              <w:rPr>
                <w:rFonts w:hint="eastAsia"/>
                <w:color w:val="auto"/>
                <w:sz w:val="24"/>
                <w:szCs w:val="24"/>
                <w:highlight w:val="none"/>
                <w:lang w:eastAsia="zh-CN"/>
              </w:rPr>
              <w:t>99</w:t>
            </w:r>
            <w:r>
              <w:rPr>
                <w:rFonts w:hint="eastAsia"/>
                <w:color w:val="auto"/>
                <w:sz w:val="24"/>
                <w:szCs w:val="24"/>
                <w:highlight w:val="none"/>
                <w:lang w:val="en-US" w:eastAsia="zh-CN"/>
              </w:rPr>
              <w:t>.74</w:t>
            </w:r>
            <w:r>
              <w:rPr>
                <w:rFonts w:hint="eastAsia"/>
                <w:color w:val="auto"/>
                <w:sz w:val="24"/>
                <w:szCs w:val="24"/>
                <w:highlight w:val="none"/>
                <w:lang w:eastAsia="zh-CN"/>
              </w:rPr>
              <w:t>%</w:t>
            </w:r>
            <w:r>
              <w:rPr>
                <w:color w:val="auto"/>
                <w:spacing w:val="-5"/>
                <w:highlight w:val="none"/>
              </w:rPr>
              <w:t>，则</w:t>
            </w:r>
            <w:r>
              <w:rPr>
                <w:rFonts w:hint="eastAsia"/>
                <w:color w:val="auto"/>
                <w:sz w:val="24"/>
                <w:highlight w:val="none"/>
                <w:lang w:val="en-US" w:eastAsia="zh-CN"/>
              </w:rPr>
              <w:t>2</w:t>
            </w:r>
            <w:r>
              <w:rPr>
                <w:rFonts w:hint="default"/>
                <w:color w:val="auto"/>
                <w:sz w:val="24"/>
                <w:highlight w:val="none"/>
                <w:lang w:val="en-US" w:eastAsia="zh-CN"/>
              </w:rPr>
              <w:t>#胶带输送机</w:t>
            </w:r>
            <w:r>
              <w:rPr>
                <w:color w:val="auto"/>
                <w:spacing w:val="-5"/>
                <w:highlight w:val="none"/>
              </w:rPr>
              <w:t>输送无组织排放量为0.</w:t>
            </w:r>
            <w:r>
              <w:rPr>
                <w:rFonts w:hint="eastAsia"/>
                <w:color w:val="auto"/>
                <w:spacing w:val="-5"/>
                <w:highlight w:val="none"/>
                <w:lang w:val="en-US" w:eastAsia="zh-CN"/>
              </w:rPr>
              <w:t>003</w:t>
            </w:r>
            <w:r>
              <w:rPr>
                <w:color w:val="auto"/>
                <w:spacing w:val="-5"/>
                <w:highlight w:val="none"/>
              </w:rPr>
              <w:t>t/a</w:t>
            </w:r>
            <w:r>
              <w:rPr>
                <w:rFonts w:hint="eastAsia"/>
                <w:color w:val="auto"/>
                <w:sz w:val="24"/>
                <w:szCs w:val="24"/>
                <w:highlight w:val="none"/>
                <w:lang w:val="en-US" w:eastAsia="zh-CN"/>
              </w:rPr>
              <w:t>。</w:t>
            </w:r>
          </w:p>
          <w:p>
            <w:pPr>
              <w:pStyle w:val="32"/>
              <w:ind w:firstLine="480"/>
              <w:rPr>
                <w:rFonts w:hint="default" w:eastAsia="宋体"/>
                <w:color w:val="auto"/>
                <w:szCs w:val="21"/>
                <w:highlight w:val="none"/>
                <w:lang w:val="en-US" w:eastAsia="zh-CN"/>
              </w:rPr>
            </w:pPr>
            <w:r>
              <w:rPr>
                <w:rFonts w:hint="eastAsia"/>
                <w:color w:val="auto"/>
                <w:szCs w:val="21"/>
                <w:highlight w:val="none"/>
              </w:rPr>
              <w:t>（</w:t>
            </w:r>
            <w:r>
              <w:rPr>
                <w:rFonts w:hint="eastAsia"/>
                <w:color w:val="auto"/>
                <w:szCs w:val="21"/>
                <w:highlight w:val="none"/>
                <w:lang w:val="en-US" w:eastAsia="zh-CN"/>
              </w:rPr>
              <w:t>5</w:t>
            </w:r>
            <w:r>
              <w:rPr>
                <w:rFonts w:hint="eastAsia"/>
                <w:color w:val="auto"/>
                <w:szCs w:val="21"/>
                <w:highlight w:val="none"/>
              </w:rPr>
              <w:t>）</w:t>
            </w:r>
            <w:r>
              <w:rPr>
                <w:rFonts w:hint="eastAsia"/>
                <w:color w:val="auto"/>
                <w:szCs w:val="21"/>
                <w:highlight w:val="none"/>
                <w:lang w:val="en-US" w:eastAsia="zh-CN"/>
              </w:rPr>
              <w:t>卸矿站外成品输送过程落料粉尘</w:t>
            </w:r>
          </w:p>
          <w:p>
            <w:pPr>
              <w:pStyle w:val="32"/>
              <w:ind w:firstLine="480"/>
              <w:rPr>
                <w:color w:val="auto"/>
                <w:highlight w:val="none"/>
              </w:rPr>
            </w:pPr>
            <w:r>
              <w:rPr>
                <w:rFonts w:hint="eastAsia"/>
                <w:color w:val="auto"/>
                <w:sz w:val="24"/>
                <w:highlight w:val="none"/>
                <w:lang w:val="en-US" w:eastAsia="zh-CN"/>
              </w:rPr>
              <w:t>输送机落料至室外出料管状胶带机，</w:t>
            </w:r>
            <w:r>
              <w:rPr>
                <w:rFonts w:hint="eastAsia"/>
                <w:color w:val="auto"/>
                <w:highlight w:val="none"/>
                <w:lang w:val="en-US" w:eastAsia="zh-CN"/>
              </w:rPr>
              <w:t>经本次新建的M-9</w:t>
            </w:r>
            <w:r>
              <w:rPr>
                <w:rFonts w:hint="eastAsia"/>
                <w:color w:val="auto"/>
                <w:highlight w:val="none"/>
              </w:rPr>
              <w:t>#转运站与东南铜业原有输送线衔接，运送至东南铜业的6#配矿皮带上。</w:t>
            </w:r>
            <w:r>
              <w:rPr>
                <w:rFonts w:hint="eastAsia"/>
                <w:color w:val="auto"/>
                <w:highlight w:val="none"/>
                <w:lang w:val="en-US" w:eastAsia="zh-CN"/>
              </w:rPr>
              <w:t>根据</w:t>
            </w:r>
            <w:r>
              <w:rPr>
                <w:rFonts w:hint="eastAsia"/>
                <w:color w:val="auto"/>
                <w:highlight w:val="none"/>
              </w:rPr>
              <w:t>前文码头转运过程核算公式，转运过程粉尘产生系数为</w:t>
            </w:r>
            <w:r>
              <w:rPr>
                <w:color w:val="auto"/>
                <w:highlight w:val="none"/>
              </w:rPr>
              <w:t>0.002482kg/t</w:t>
            </w:r>
            <w:r>
              <w:rPr>
                <w:rFonts w:hint="eastAsia"/>
                <w:color w:val="auto"/>
                <w:highlight w:val="none"/>
              </w:rPr>
              <w:t>。转运成品约</w:t>
            </w:r>
            <w:r>
              <w:rPr>
                <w:rFonts w:hint="eastAsia"/>
                <w:color w:val="auto"/>
                <w:highlight w:val="none"/>
                <w:lang w:val="en-US" w:eastAsia="zh-CN"/>
              </w:rPr>
              <w:t>1017761.58</w:t>
            </w:r>
            <w:r>
              <w:rPr>
                <w:rFonts w:hint="eastAsia"/>
                <w:color w:val="auto"/>
                <w:highlight w:val="none"/>
              </w:rPr>
              <w:t>吨，则</w:t>
            </w:r>
            <w:r>
              <w:rPr>
                <w:rFonts w:hint="eastAsia"/>
                <w:color w:val="auto"/>
                <w:highlight w:val="none"/>
                <w:lang w:val="en-US" w:eastAsia="zh-CN"/>
              </w:rPr>
              <w:t>M-9</w:t>
            </w:r>
            <w:r>
              <w:rPr>
                <w:rFonts w:hint="eastAsia"/>
                <w:color w:val="auto"/>
                <w:highlight w:val="none"/>
              </w:rPr>
              <w:t>#转运站粉尘产生量为2.</w:t>
            </w:r>
            <w:r>
              <w:rPr>
                <w:rFonts w:hint="eastAsia"/>
                <w:color w:val="auto"/>
                <w:highlight w:val="none"/>
                <w:lang w:val="en-US" w:eastAsia="zh-CN"/>
              </w:rPr>
              <w:t>526</w:t>
            </w:r>
            <w:r>
              <w:rPr>
                <w:color w:val="auto"/>
                <w:highlight w:val="none"/>
              </w:rPr>
              <w:t>t/a</w:t>
            </w:r>
            <w:r>
              <w:rPr>
                <w:rFonts w:hint="eastAsia"/>
                <w:color w:val="auto"/>
                <w:highlight w:val="none"/>
                <w:lang w:eastAsia="zh-CN"/>
              </w:rPr>
              <w:t>，</w:t>
            </w:r>
            <w:r>
              <w:rPr>
                <w:rFonts w:hint="eastAsia"/>
                <w:color w:val="auto"/>
                <w:highlight w:val="none"/>
                <w:lang w:val="en-US" w:eastAsia="zh-CN"/>
              </w:rPr>
              <w:t>该</w:t>
            </w:r>
            <w:r>
              <w:rPr>
                <w:rFonts w:hint="eastAsia"/>
                <w:color w:val="auto"/>
                <w:highlight w:val="none"/>
              </w:rPr>
              <w:t>转运站风量为</w:t>
            </w:r>
            <w:r>
              <w:rPr>
                <w:rFonts w:hint="eastAsia"/>
                <w:color w:val="auto"/>
                <w:highlight w:val="none"/>
                <w:lang w:val="en-US" w:eastAsia="zh-CN"/>
              </w:rPr>
              <w:t>70</w:t>
            </w:r>
            <w:r>
              <w:rPr>
                <w:color w:val="auto"/>
                <w:highlight w:val="none"/>
              </w:rPr>
              <w:t>00m</w:t>
            </w:r>
            <w:r>
              <w:rPr>
                <w:color w:val="auto"/>
                <w:highlight w:val="none"/>
                <w:vertAlign w:val="superscript"/>
              </w:rPr>
              <w:t>3</w:t>
            </w:r>
            <w:r>
              <w:rPr>
                <w:color w:val="auto"/>
                <w:highlight w:val="none"/>
              </w:rPr>
              <w:t>/h</w:t>
            </w:r>
            <w:r>
              <w:rPr>
                <w:rFonts w:hint="eastAsia"/>
                <w:color w:val="auto"/>
                <w:highlight w:val="none"/>
              </w:rPr>
              <w:t xml:space="preserve">。 </w:t>
            </w:r>
          </w:p>
          <w:p>
            <w:pPr>
              <w:pStyle w:val="32"/>
              <w:ind w:firstLine="480"/>
              <w:rPr>
                <w:rFonts w:hint="default" w:eastAsia="宋体"/>
                <w:color w:val="auto"/>
                <w:highlight w:val="none"/>
                <w:lang w:val="en-US" w:eastAsia="zh-CN"/>
              </w:rPr>
            </w:pPr>
            <w:r>
              <w:rPr>
                <w:rFonts w:hint="eastAsia"/>
                <w:color w:val="auto"/>
                <w:szCs w:val="21"/>
                <w:highlight w:val="none"/>
              </w:rPr>
              <w:t>（</w:t>
            </w:r>
            <w:r>
              <w:rPr>
                <w:rFonts w:hint="eastAsia"/>
                <w:color w:val="auto"/>
                <w:szCs w:val="21"/>
                <w:highlight w:val="none"/>
                <w:lang w:val="en-US" w:eastAsia="zh-CN"/>
              </w:rPr>
              <w:t>6</w:t>
            </w:r>
            <w:r>
              <w:rPr>
                <w:rFonts w:hint="eastAsia"/>
                <w:color w:val="auto"/>
                <w:szCs w:val="21"/>
                <w:highlight w:val="none"/>
              </w:rPr>
              <w:t>）</w:t>
            </w:r>
            <w:r>
              <w:rPr>
                <w:rFonts w:hint="eastAsia"/>
                <w:color w:val="auto"/>
                <w:highlight w:val="none"/>
                <w:lang w:val="en-US" w:eastAsia="zh-CN"/>
              </w:rPr>
              <w:t>小结</w:t>
            </w:r>
          </w:p>
          <w:p>
            <w:pPr>
              <w:pStyle w:val="32"/>
              <w:ind w:firstLine="480"/>
              <w:rPr>
                <w:rFonts w:hint="eastAsia"/>
                <w:color w:val="auto"/>
                <w:highlight w:val="none"/>
                <w:lang w:val="en-US" w:eastAsia="zh-CN"/>
              </w:rPr>
            </w:pPr>
            <w:r>
              <w:rPr>
                <w:rFonts w:hint="eastAsia"/>
                <w:color w:val="auto"/>
                <w:highlight w:val="none"/>
                <w:lang w:val="en-US" w:eastAsia="zh-CN"/>
              </w:rPr>
              <w:t>综上所述，本项目粉尘主要来自卸矿站外输送线、卸矿站和混矿库：</w:t>
            </w:r>
          </w:p>
          <w:p>
            <w:pPr>
              <w:pStyle w:val="32"/>
              <w:ind w:firstLine="480"/>
              <w:rPr>
                <w:color w:val="auto"/>
                <w:spacing w:val="-5"/>
                <w:highlight w:val="none"/>
              </w:rPr>
            </w:pPr>
            <w:r>
              <w:rPr>
                <w:rFonts w:hint="eastAsia"/>
                <w:color w:val="auto"/>
                <w:highlight w:val="none"/>
                <w:lang w:val="en-US" w:eastAsia="zh-CN"/>
              </w:rPr>
              <w:t>卸矿站外原料和成品输送过程转运站粉尘，</w:t>
            </w:r>
            <w:r>
              <w:rPr>
                <w:rFonts w:hint="eastAsia"/>
                <w:color w:val="auto"/>
                <w:highlight w:val="none"/>
              </w:rPr>
              <w:t>根据其风量核算，转运站各排气筒排放量详见表</w:t>
            </w:r>
            <w:r>
              <w:rPr>
                <w:color w:val="auto"/>
                <w:highlight w:val="none"/>
              </w:rPr>
              <w:t>4.2</w:t>
            </w:r>
            <w:r>
              <w:rPr>
                <w:rFonts w:hint="eastAsia"/>
                <w:color w:val="auto"/>
                <w:highlight w:val="none"/>
              </w:rPr>
              <w:t>.4</w:t>
            </w:r>
            <w:r>
              <w:rPr>
                <w:color w:val="auto"/>
                <w:spacing w:val="-5"/>
                <w:highlight w:val="none"/>
              </w:rPr>
              <w:t>。</w:t>
            </w:r>
          </w:p>
          <w:p>
            <w:pPr>
              <w:pStyle w:val="32"/>
              <w:ind w:firstLine="480"/>
              <w:rPr>
                <w:rFonts w:hint="eastAsia"/>
                <w:color w:val="auto"/>
                <w:highlight w:val="none"/>
                <w:lang w:val="en-US" w:eastAsia="zh-CN"/>
              </w:rPr>
            </w:pPr>
            <w:r>
              <w:rPr>
                <w:rFonts w:hint="eastAsia"/>
                <w:color w:val="auto"/>
                <w:highlight w:val="none"/>
                <w:lang w:val="en-US" w:eastAsia="zh-CN"/>
              </w:rPr>
              <w:t>卸矿站：有组织粉尘包括原料输送过程的1#胶带输送机受料和卸料粉尘、5#胶带输送机卸料粉尘、6#胶带输送机卸料粉尘，成品输送过程的3#胶带输送机卸料粉尘、6#胶带输送机卸料粉尘、2#胶带输送机卸料粉尘，各</w:t>
            </w:r>
            <w:r>
              <w:rPr>
                <w:rFonts w:hint="default" w:ascii="Times New Roman" w:hAnsi="Times New Roman" w:cs="Times New Roman"/>
                <w:color w:val="auto"/>
                <w:sz w:val="24"/>
                <w:szCs w:val="24"/>
                <w:highlight w:val="none"/>
                <w:lang w:val="en-US" w:eastAsia="zh-CN"/>
              </w:rPr>
              <w:t>输送机</w:t>
            </w:r>
            <w:r>
              <w:rPr>
                <w:rFonts w:hint="eastAsia" w:ascii="Times New Roman" w:hAnsi="Times New Roman" w:cs="Times New Roman"/>
                <w:color w:val="auto"/>
                <w:sz w:val="24"/>
                <w:szCs w:val="24"/>
                <w:highlight w:val="none"/>
                <w:lang w:val="en-US" w:eastAsia="zh-CN"/>
              </w:rPr>
              <w:t>卸</w:t>
            </w:r>
            <w:r>
              <w:rPr>
                <w:rFonts w:hint="default" w:ascii="Times New Roman" w:hAnsi="Times New Roman" w:cs="Times New Roman"/>
                <w:color w:val="auto"/>
                <w:sz w:val="24"/>
                <w:szCs w:val="24"/>
                <w:highlight w:val="none"/>
                <w:lang w:val="en-US" w:eastAsia="zh-CN"/>
              </w:rPr>
              <w:t>料点及西侧配料皮带秤卸料点设</w:t>
            </w:r>
            <w:r>
              <w:rPr>
                <w:rFonts w:hint="eastAsia" w:cs="Times New Roman"/>
                <w:color w:val="auto"/>
                <w:sz w:val="24"/>
                <w:szCs w:val="24"/>
                <w:highlight w:val="none"/>
                <w:lang w:val="en-US" w:eastAsia="zh-CN"/>
              </w:rPr>
              <w:t>集气系统</w:t>
            </w:r>
            <w:r>
              <w:rPr>
                <w:rFonts w:hint="default" w:ascii="Times New Roman" w:hAnsi="Times New Roman" w:cs="Times New Roman"/>
                <w:color w:val="auto"/>
                <w:sz w:val="24"/>
                <w:szCs w:val="24"/>
                <w:highlight w:val="none"/>
                <w:lang w:val="en-US" w:eastAsia="zh-CN"/>
              </w:rPr>
              <w:t>，</w:t>
            </w:r>
            <w:r>
              <w:rPr>
                <w:rFonts w:hint="eastAsia" w:cs="Times New Roman"/>
                <w:color w:val="auto"/>
                <w:sz w:val="24"/>
                <w:szCs w:val="24"/>
                <w:highlight w:val="none"/>
                <w:lang w:val="en-US" w:eastAsia="zh-CN"/>
              </w:rPr>
              <w:t>经</w:t>
            </w:r>
            <w:r>
              <w:rPr>
                <w:rFonts w:hint="default" w:ascii="Times New Roman" w:hAnsi="Times New Roman" w:cs="Times New Roman"/>
                <w:color w:val="auto"/>
                <w:sz w:val="24"/>
                <w:szCs w:val="24"/>
                <w:highlight w:val="none"/>
                <w:lang w:val="en-US" w:eastAsia="zh-CN"/>
              </w:rPr>
              <w:t>塑烧板除尘器处理后通过15m高排气筒(DA00</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)排放</w:t>
            </w:r>
            <w:r>
              <w:rPr>
                <w:rFonts w:hint="eastAsia"/>
                <w:color w:val="auto"/>
                <w:highlight w:val="none"/>
                <w:lang w:val="en-US" w:eastAsia="zh-CN"/>
              </w:rPr>
              <w:t>。</w:t>
            </w:r>
          </w:p>
          <w:p>
            <w:pPr>
              <w:pStyle w:val="32"/>
              <w:ind w:firstLine="480"/>
              <w:rPr>
                <w:rFonts w:hint="eastAsia"/>
                <w:color w:val="auto"/>
                <w:highlight w:val="none"/>
                <w:lang w:val="en-US" w:eastAsia="zh-CN"/>
              </w:rPr>
            </w:pPr>
            <w:r>
              <w:rPr>
                <w:rFonts w:hint="eastAsia"/>
                <w:color w:val="auto"/>
                <w:highlight w:val="none"/>
                <w:lang w:val="en-US" w:eastAsia="zh-CN"/>
              </w:rPr>
              <w:t>混矿库：在S-2~5、S-6、S-9、S-14号等输送机卸料点及西侧配料皮带秤卸料点设</w:t>
            </w:r>
            <w:r>
              <w:rPr>
                <w:rFonts w:hint="eastAsia" w:cs="Times New Roman"/>
                <w:color w:val="auto"/>
                <w:sz w:val="24"/>
                <w:szCs w:val="24"/>
                <w:highlight w:val="none"/>
                <w:lang w:val="en-US" w:eastAsia="zh-CN"/>
              </w:rPr>
              <w:t>集气系统</w:t>
            </w:r>
            <w:r>
              <w:rPr>
                <w:rFonts w:hint="eastAsia"/>
                <w:color w:val="auto"/>
                <w:highlight w:val="none"/>
                <w:lang w:val="en-US" w:eastAsia="zh-CN"/>
              </w:rPr>
              <w:t>，集气后经塑烧板除尘器处理后通过15m高排气筒(DA003)排放；在卸矿站4#胶带输送机、S-1、S-7、S-8、S-10、S-15等输送机卸料点及东侧配料皮带秤卸料点设</w:t>
            </w:r>
            <w:r>
              <w:rPr>
                <w:rFonts w:hint="eastAsia" w:cs="Times New Roman"/>
                <w:color w:val="auto"/>
                <w:sz w:val="24"/>
                <w:szCs w:val="24"/>
                <w:highlight w:val="none"/>
                <w:lang w:val="en-US" w:eastAsia="zh-CN"/>
              </w:rPr>
              <w:t>集气系统</w:t>
            </w:r>
            <w:r>
              <w:rPr>
                <w:rFonts w:hint="eastAsia"/>
                <w:color w:val="auto"/>
                <w:highlight w:val="none"/>
                <w:lang w:val="en-US" w:eastAsia="zh-CN"/>
              </w:rPr>
              <w:t>，经塑烧板除尘器处理后通过15m高排气筒(DA004)排放。</w:t>
            </w:r>
          </w:p>
          <w:p>
            <w:pPr>
              <w:pStyle w:val="32"/>
              <w:ind w:firstLine="480"/>
              <w:rPr>
                <w:rFonts w:hint="default"/>
                <w:color w:val="auto"/>
                <w:highlight w:val="none"/>
                <w:lang w:val="en-US" w:eastAsia="zh-CN"/>
              </w:rPr>
            </w:pPr>
            <w:r>
              <w:rPr>
                <w:rFonts w:hint="eastAsia"/>
                <w:color w:val="auto"/>
                <w:highlight w:val="none"/>
                <w:lang w:val="en-US" w:eastAsia="zh-CN"/>
              </w:rPr>
              <w:t>卸矿站和混矿库有组织</w:t>
            </w:r>
            <w:r>
              <w:rPr>
                <w:rFonts w:hint="eastAsia"/>
                <w:color w:val="auto"/>
                <w:highlight w:val="none"/>
              </w:rPr>
              <w:t>废气产生量和排放量详见表</w:t>
            </w:r>
            <w:r>
              <w:rPr>
                <w:color w:val="auto"/>
                <w:highlight w:val="none"/>
              </w:rPr>
              <w:t>4.2</w:t>
            </w:r>
            <w:r>
              <w:rPr>
                <w:rFonts w:hint="eastAsia"/>
                <w:color w:val="auto"/>
                <w:highlight w:val="none"/>
              </w:rPr>
              <w:t>.</w:t>
            </w:r>
            <w:r>
              <w:rPr>
                <w:rFonts w:hint="eastAsia"/>
                <w:color w:val="auto"/>
                <w:highlight w:val="none"/>
                <w:lang w:val="en-US" w:eastAsia="zh-CN"/>
              </w:rPr>
              <w:t>9</w:t>
            </w:r>
            <w:r>
              <w:rPr>
                <w:color w:val="auto"/>
                <w:spacing w:val="-5"/>
                <w:highlight w:val="none"/>
              </w:rPr>
              <w:t>。</w:t>
            </w:r>
          </w:p>
          <w:p>
            <w:pPr>
              <w:pStyle w:val="32"/>
              <w:ind w:firstLine="480"/>
              <w:rPr>
                <w:rFonts w:hint="default"/>
                <w:color w:val="auto"/>
                <w:highlight w:val="none"/>
                <w:lang w:val="en-US" w:eastAsia="zh-CN"/>
              </w:rPr>
            </w:pPr>
            <w:r>
              <w:rPr>
                <w:rFonts w:hint="eastAsia"/>
                <w:color w:val="auto"/>
                <w:highlight w:val="none"/>
                <w:lang w:val="en-US" w:eastAsia="zh-CN"/>
              </w:rPr>
              <w:t>卸矿站和混矿库无组织</w:t>
            </w:r>
            <w:r>
              <w:rPr>
                <w:rFonts w:hint="eastAsia"/>
                <w:color w:val="auto"/>
                <w:highlight w:val="none"/>
              </w:rPr>
              <w:t>废气产生量和排放量详见表</w:t>
            </w:r>
            <w:r>
              <w:rPr>
                <w:color w:val="auto"/>
                <w:highlight w:val="none"/>
              </w:rPr>
              <w:t>4.2</w:t>
            </w:r>
            <w:r>
              <w:rPr>
                <w:rFonts w:hint="eastAsia"/>
                <w:color w:val="auto"/>
                <w:highlight w:val="none"/>
              </w:rPr>
              <w:t>.</w:t>
            </w:r>
            <w:r>
              <w:rPr>
                <w:rFonts w:hint="eastAsia"/>
                <w:color w:val="auto"/>
                <w:highlight w:val="none"/>
                <w:lang w:val="en-US" w:eastAsia="zh-CN"/>
              </w:rPr>
              <w:t>10</w:t>
            </w:r>
            <w:r>
              <w:rPr>
                <w:color w:val="auto"/>
                <w:spacing w:val="-5"/>
                <w:highlight w:val="none"/>
              </w:rPr>
              <w:t>。</w:t>
            </w:r>
          </w:p>
          <w:p>
            <w:pPr>
              <w:pStyle w:val="32"/>
              <w:ind w:firstLine="480"/>
              <w:rPr>
                <w:color w:val="auto"/>
                <w:highlight w:val="none"/>
              </w:rPr>
            </w:pPr>
            <w:r>
              <w:rPr>
                <w:rFonts w:hint="eastAsia"/>
                <w:color w:val="auto"/>
                <w:szCs w:val="21"/>
                <w:highlight w:val="none"/>
              </w:rPr>
              <w:t>（</w:t>
            </w:r>
            <w:r>
              <w:rPr>
                <w:rFonts w:hint="eastAsia"/>
                <w:color w:val="auto"/>
                <w:szCs w:val="21"/>
                <w:highlight w:val="none"/>
                <w:lang w:val="en-US" w:eastAsia="zh-CN"/>
              </w:rPr>
              <w:t>7</w:t>
            </w:r>
            <w:r>
              <w:rPr>
                <w:rFonts w:hint="eastAsia"/>
                <w:color w:val="auto"/>
                <w:szCs w:val="21"/>
                <w:highlight w:val="none"/>
              </w:rPr>
              <w:t>）</w:t>
            </w:r>
            <w:r>
              <w:rPr>
                <w:rFonts w:hint="eastAsia"/>
                <w:color w:val="auto"/>
                <w:highlight w:val="none"/>
              </w:rPr>
              <w:t>制样粉尘</w:t>
            </w:r>
          </w:p>
          <w:p>
            <w:pPr>
              <w:pStyle w:val="32"/>
              <w:ind w:firstLine="480"/>
              <w:rPr>
                <w:color w:val="auto"/>
                <w:highlight w:val="none"/>
              </w:rPr>
            </w:pPr>
            <w:r>
              <w:rPr>
                <w:rFonts w:hint="eastAsia"/>
                <w:color w:val="auto"/>
                <w:highlight w:val="none"/>
              </w:rPr>
              <w:t>原料、产品制样过程会产生少量粉尘，为间歇排放，每次制样过程取样约100g，烘干、筛分过程粉尘产生量极少，本次环评不对制样过程产生的粉尘进行核算。工作台上设置通风橱，粉尘经滤筒净化一体机处理后直接在</w:t>
            </w:r>
            <w:r>
              <w:rPr>
                <w:rFonts w:hint="eastAsia"/>
                <w:color w:val="auto"/>
                <w:highlight w:val="none"/>
                <w:lang w:val="en-US" w:eastAsia="zh-CN"/>
              </w:rPr>
              <w:t>混矿</w:t>
            </w:r>
            <w:r>
              <w:rPr>
                <w:rFonts w:hint="eastAsia"/>
                <w:color w:val="auto"/>
                <w:highlight w:val="none"/>
              </w:rPr>
              <w:t>库内排放，</w:t>
            </w:r>
            <w:r>
              <w:rPr>
                <w:rFonts w:hint="eastAsia"/>
                <w:color w:val="auto"/>
                <w:highlight w:val="none"/>
                <w:lang w:val="en-US" w:eastAsia="zh-CN"/>
              </w:rPr>
              <w:t>混矿</w:t>
            </w:r>
            <w:r>
              <w:rPr>
                <w:rFonts w:hint="eastAsia"/>
                <w:color w:val="auto"/>
                <w:highlight w:val="none"/>
              </w:rPr>
              <w:t>库设</w:t>
            </w:r>
            <w:r>
              <w:rPr>
                <w:rFonts w:hint="eastAsia"/>
                <w:color w:val="auto"/>
                <w:spacing w:val="-5"/>
                <w:highlight w:val="none"/>
                <w:lang w:val="en-US" w:eastAsia="zh-CN"/>
              </w:rPr>
              <w:t>3</w:t>
            </w:r>
            <w:r>
              <w:rPr>
                <w:color w:val="auto"/>
                <w:spacing w:val="-5"/>
                <w:highlight w:val="none"/>
              </w:rPr>
              <w:t>套智能高压喷雾抑尘装置</w:t>
            </w:r>
            <w:r>
              <w:rPr>
                <w:rFonts w:hint="eastAsia"/>
                <w:color w:val="auto"/>
                <w:spacing w:val="-5"/>
                <w:highlight w:val="none"/>
              </w:rPr>
              <w:t>，进一步降尘</w:t>
            </w:r>
            <w:r>
              <w:rPr>
                <w:rFonts w:hint="eastAsia"/>
                <w:color w:val="auto"/>
                <w:highlight w:val="none"/>
              </w:rPr>
              <w:t>。</w:t>
            </w:r>
          </w:p>
          <w:p>
            <w:pPr>
              <w:pStyle w:val="32"/>
              <w:ind w:firstLine="480"/>
              <w:rPr>
                <w:color w:val="auto"/>
                <w:highlight w:val="none"/>
              </w:rPr>
            </w:pPr>
          </w:p>
        </w:tc>
      </w:tr>
    </w:tbl>
    <w:p>
      <w:pPr>
        <w:rPr>
          <w:rFonts w:hint="eastAsia" w:ascii="黑体" w:hAnsi="黑体" w:eastAsia="黑体"/>
          <w:snapToGrid w:val="0"/>
          <w:color w:val="auto"/>
          <w:sz w:val="30"/>
          <w:szCs w:val="30"/>
          <w:highlight w:val="none"/>
        </w:rPr>
        <w:sectPr>
          <w:pgSz w:w="11906" w:h="16838"/>
          <w:pgMar w:top="1417" w:right="1304" w:bottom="1304" w:left="1304" w:header="851" w:footer="992" w:gutter="0"/>
          <w:cols w:space="425" w:num="1"/>
          <w:docGrid w:type="lines" w:linePitch="312" w:charSpace="0"/>
        </w:sectPr>
      </w:pPr>
    </w:p>
    <w:p>
      <w:pPr>
        <w:pStyle w:val="36"/>
        <w:rPr>
          <w:rFonts w:hint="eastAsia"/>
          <w:color w:val="auto"/>
          <w:highlight w:val="none"/>
        </w:rPr>
      </w:pPr>
      <w:r>
        <w:rPr>
          <w:rFonts w:hint="eastAsia"/>
          <w:color w:val="auto"/>
          <w:highlight w:val="none"/>
        </w:rPr>
        <w:t>表4.2.</w:t>
      </w:r>
      <w:r>
        <w:rPr>
          <w:rFonts w:hint="eastAsia"/>
          <w:color w:val="auto"/>
          <w:highlight w:val="none"/>
          <w:lang w:val="en-US" w:eastAsia="zh-CN"/>
        </w:rPr>
        <w:t>9</w:t>
      </w:r>
      <w:r>
        <w:rPr>
          <w:rFonts w:hint="eastAsia"/>
          <w:color w:val="auto"/>
          <w:highlight w:val="none"/>
        </w:rPr>
        <w:t xml:space="preserve">  本项目</w:t>
      </w:r>
      <w:r>
        <w:rPr>
          <w:rFonts w:hint="eastAsia"/>
          <w:color w:val="auto"/>
          <w:highlight w:val="none"/>
          <w:lang w:val="en-US" w:eastAsia="zh-CN"/>
        </w:rPr>
        <w:t>卸矿站和混矿库有组织</w:t>
      </w:r>
      <w:r>
        <w:rPr>
          <w:rFonts w:hint="eastAsia"/>
          <w:color w:val="auto"/>
          <w:highlight w:val="none"/>
        </w:rPr>
        <w:t>废气产生量和排放量一览表</w:t>
      </w:r>
    </w:p>
    <w:tbl>
      <w:tblPr>
        <w:tblStyle w:val="20"/>
        <w:tblW w:w="142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60"/>
        <w:gridCol w:w="4527"/>
        <w:gridCol w:w="1284"/>
        <w:gridCol w:w="1333"/>
        <w:gridCol w:w="1350"/>
        <w:gridCol w:w="1230"/>
        <w:gridCol w:w="1280"/>
        <w:gridCol w:w="1238"/>
        <w:gridCol w:w="9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排气筒编号</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产污环节</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产生浓度（</w:t>
            </w:r>
            <w:r>
              <w:rPr>
                <w:rStyle w:val="66"/>
                <w:rFonts w:hint="default" w:ascii="Times New Roman" w:hAnsi="Times New Roman" w:eastAsia="宋体" w:cs="Times New Roman"/>
                <w:color w:val="auto"/>
                <w:sz w:val="21"/>
                <w:szCs w:val="21"/>
                <w:highlight w:val="none"/>
                <w:lang w:val="en-US" w:eastAsia="zh-CN" w:bidi="ar"/>
              </w:rPr>
              <w:t>mg/m</w:t>
            </w:r>
            <w:r>
              <w:rPr>
                <w:rStyle w:val="69"/>
                <w:rFonts w:hint="default" w:ascii="Times New Roman" w:hAnsi="Times New Roman" w:eastAsia="宋体" w:cs="Times New Roman"/>
                <w:color w:val="auto"/>
                <w:sz w:val="21"/>
                <w:szCs w:val="21"/>
                <w:highlight w:val="none"/>
                <w:lang w:val="en-US" w:eastAsia="zh-CN" w:bidi="ar"/>
              </w:rPr>
              <w:t>3</w:t>
            </w:r>
            <w:r>
              <w:rPr>
                <w:rStyle w:val="73"/>
                <w:rFonts w:hint="default" w:ascii="Times New Roman" w:hAnsi="Times New Roman" w:cs="Times New Roman"/>
                <w:color w:val="auto"/>
                <w:sz w:val="21"/>
                <w:szCs w:val="21"/>
                <w:highlight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产生速率（</w:t>
            </w:r>
            <w:r>
              <w:rPr>
                <w:rStyle w:val="66"/>
                <w:rFonts w:hint="default" w:ascii="Times New Roman" w:hAnsi="Times New Roman" w:eastAsia="宋体" w:cs="Times New Roman"/>
                <w:color w:val="auto"/>
                <w:sz w:val="21"/>
                <w:szCs w:val="21"/>
                <w:highlight w:val="none"/>
                <w:lang w:val="en-US" w:eastAsia="zh-CN" w:bidi="ar"/>
              </w:rPr>
              <w:t>kg/h</w:t>
            </w:r>
            <w:r>
              <w:rPr>
                <w:rStyle w:val="73"/>
                <w:rFonts w:hint="default" w:ascii="Times New Roman" w:hAnsi="Times New Roman" w:cs="Times New Roman"/>
                <w:color w:val="auto"/>
                <w:sz w:val="21"/>
                <w:szCs w:val="21"/>
                <w:highlight w:val="none"/>
                <w:lang w:val="en-US" w:eastAsia="zh-CN" w:bidi="ar"/>
              </w:rPr>
              <w:t>）</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w:t>
            </w:r>
            <w:r>
              <w:rPr>
                <w:rStyle w:val="66"/>
                <w:rFonts w:hint="default" w:ascii="Times New Roman" w:hAnsi="Times New Roman" w:eastAsia="宋体" w:cs="Times New Roman"/>
                <w:color w:val="auto"/>
                <w:sz w:val="21"/>
                <w:szCs w:val="21"/>
                <w:highlight w:val="none"/>
                <w:lang w:val="en-US" w:eastAsia="zh-CN" w:bidi="ar"/>
              </w:rPr>
              <w:t>t/a</w:t>
            </w:r>
            <w:r>
              <w:rPr>
                <w:rStyle w:val="73"/>
                <w:rFonts w:hint="default" w:ascii="Times New Roman" w:hAnsi="Times New Roman" w:cs="Times New Roman"/>
                <w:color w:val="auto"/>
                <w:sz w:val="21"/>
                <w:szCs w:val="21"/>
                <w:highlight w:val="none"/>
                <w:lang w:val="en-US" w:eastAsia="zh-CN" w:bidi="ar"/>
              </w:rPr>
              <w:t>）</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eastAsia" w:ascii="Times New Roman" w:hAnsi="Times New Roman" w:eastAsia="宋体" w:cs="Times New Roman"/>
                <w:i w:val="0"/>
                <w:iCs w:val="0"/>
                <w:color w:val="auto"/>
                <w:kern w:val="0"/>
                <w:sz w:val="21"/>
                <w:szCs w:val="21"/>
                <w:highlight w:val="none"/>
                <w:u w:val="none"/>
                <w:lang w:val="en-US" w:eastAsia="zh-CN" w:bidi="ar"/>
              </w:rPr>
              <w:t>处理</w:t>
            </w:r>
            <w:r>
              <w:rPr>
                <w:rFonts w:hint="default" w:ascii="Times New Roman" w:hAnsi="Times New Roman" w:eastAsia="宋体" w:cs="Times New Roman"/>
                <w:i w:val="0"/>
                <w:iCs w:val="0"/>
                <w:color w:val="auto"/>
                <w:kern w:val="0"/>
                <w:sz w:val="21"/>
                <w:szCs w:val="21"/>
                <w:highlight w:val="none"/>
                <w:u w:val="none"/>
                <w:lang w:val="en-US" w:eastAsia="zh-CN" w:bidi="ar"/>
              </w:rPr>
              <w:t>效率（%）</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排放浓度（</w:t>
            </w:r>
            <w:r>
              <w:rPr>
                <w:rStyle w:val="66"/>
                <w:rFonts w:hint="default" w:ascii="Times New Roman" w:hAnsi="Times New Roman" w:eastAsia="宋体" w:cs="Times New Roman"/>
                <w:color w:val="auto"/>
                <w:sz w:val="21"/>
                <w:szCs w:val="21"/>
                <w:highlight w:val="none"/>
                <w:lang w:val="en-US" w:eastAsia="zh-CN" w:bidi="ar"/>
              </w:rPr>
              <w:t>mg/m</w:t>
            </w:r>
            <w:r>
              <w:rPr>
                <w:rStyle w:val="69"/>
                <w:rFonts w:hint="default" w:ascii="Times New Roman" w:hAnsi="Times New Roman" w:eastAsia="宋体" w:cs="Times New Roman"/>
                <w:color w:val="auto"/>
                <w:sz w:val="21"/>
                <w:szCs w:val="21"/>
                <w:highlight w:val="none"/>
                <w:lang w:val="en-US" w:eastAsia="zh-CN" w:bidi="ar"/>
              </w:rPr>
              <w:t>3</w:t>
            </w:r>
            <w:r>
              <w:rPr>
                <w:rStyle w:val="73"/>
                <w:rFonts w:hint="default" w:ascii="Times New Roman" w:hAnsi="Times New Roman" w:cs="Times New Roman"/>
                <w:color w:val="auto"/>
                <w:sz w:val="21"/>
                <w:szCs w:val="21"/>
                <w:highlight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排放速率（</w:t>
            </w:r>
            <w:r>
              <w:rPr>
                <w:rStyle w:val="66"/>
                <w:rFonts w:hint="default" w:ascii="Times New Roman" w:hAnsi="Times New Roman" w:eastAsia="宋体" w:cs="Times New Roman"/>
                <w:color w:val="auto"/>
                <w:sz w:val="21"/>
                <w:szCs w:val="21"/>
                <w:highlight w:val="none"/>
                <w:lang w:val="en-US" w:eastAsia="zh-CN" w:bidi="ar"/>
              </w:rPr>
              <w:t>kg/h</w:t>
            </w:r>
            <w:r>
              <w:rPr>
                <w:rStyle w:val="73"/>
                <w:rFonts w:hint="default" w:ascii="Times New Roman" w:hAnsi="Times New Roman" w:cs="Times New Roman"/>
                <w:color w:val="auto"/>
                <w:sz w:val="21"/>
                <w:szCs w:val="21"/>
                <w:highlight w:val="none"/>
                <w:lang w:val="en-US" w:eastAsia="zh-CN" w:bidi="ar"/>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排放量（</w:t>
            </w:r>
            <w:r>
              <w:rPr>
                <w:rStyle w:val="66"/>
                <w:rFonts w:hint="default" w:ascii="Times New Roman" w:hAnsi="Times New Roman" w:eastAsia="宋体" w:cs="Times New Roman"/>
                <w:color w:val="auto"/>
                <w:sz w:val="21"/>
                <w:szCs w:val="21"/>
                <w:highlight w:val="none"/>
                <w:lang w:val="en-US" w:eastAsia="zh-CN" w:bidi="ar"/>
              </w:rPr>
              <w:t>t/a</w:t>
            </w:r>
            <w:r>
              <w:rPr>
                <w:rStyle w:val="73"/>
                <w:rFonts w:hint="default" w:ascii="Times New Roman" w:hAnsi="Times New Roman" w:cs="Times New Roman"/>
                <w:color w:val="auto"/>
                <w:sz w:val="21"/>
                <w:szCs w:val="21"/>
                <w:highlight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DA002</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1#胶带输送机受料粉尘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0.909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7.200 </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99.500 </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auto"/>
                <w:sz w:val="21"/>
                <w:szCs w:val="21"/>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0.909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7.200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0.114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0.900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0.114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0.900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114.899 </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5.515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43.680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0.574 </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0.028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DA003</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S-3进料带式输送机(南北向)卸料粉尘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1.144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9.064 </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99.500 </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S-6原料矿布料带式输送机(东西向)卸料粉尘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1.144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9.064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S-5成品矿布料带式输送机(东西向)卸料粉尘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1.153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9.128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S-9成品矿带式输送机(东西向)上料和卸料粉尘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1.492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11.817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S-4出料带式输送机(南北向)卸料粉尘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S-2出料带式输送机(东西向)卸料粉尘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S-14皮带廊出料带式输送机(南北向)卸料粉尘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9.160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131.304 </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8.403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66.555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0.657 </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0.042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DA004</w:t>
            </w: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4#胶带输送机卸料粉尘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9.065 </w:t>
            </w:r>
          </w:p>
        </w:tc>
        <w:tc>
          <w:tcPr>
            <w:tcW w:w="12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99.500 </w:t>
            </w: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S-1进料带式输送机(东西向)卸料粉尘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1.144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9.064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S-15皮带廊进料带式输送机卸料粉尘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1.145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9.064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混矿粉尘（S-10卸料、S-7上料）</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1.487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11.776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S-7混料仓带式输送机(东西向)卸料粉尘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auto"/>
                <w:sz w:val="21"/>
                <w:szCs w:val="21"/>
                <w:highlight w:val="none"/>
                <w:u w:val="none"/>
              </w:rPr>
            </w:pP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1.153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9.129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ascii="Times New Roman" w:hAnsi="Times New Roman" w:eastAsia="宋体" w:cs="Times New Roman"/>
                <w:i w:val="0"/>
                <w:iCs w:val="0"/>
                <w:color w:val="auto"/>
                <w:sz w:val="21"/>
                <w:szCs w:val="21"/>
                <w:highlight w:val="none"/>
                <w:u w:val="none"/>
              </w:rPr>
            </w:pP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S-8混料仓带式输送机(南北向)卸料粉尘</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1.153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9.128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45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合计</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96.341 </w:t>
            </w:r>
          </w:p>
        </w:tc>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7.226 </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57.226 </w:t>
            </w:r>
          </w:p>
        </w:tc>
        <w:tc>
          <w:tcPr>
            <w:tcW w:w="12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0.482 </w:t>
            </w:r>
          </w:p>
        </w:tc>
        <w:tc>
          <w:tcPr>
            <w:tcW w:w="12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c>
          <w:tcPr>
            <w:tcW w:w="9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0.286 </w:t>
            </w:r>
          </w:p>
        </w:tc>
      </w:tr>
    </w:tbl>
    <w:p>
      <w:pPr>
        <w:pStyle w:val="36"/>
        <w:keepNext w:val="0"/>
        <w:keepLines w:val="0"/>
        <w:pageBreakBefore w:val="0"/>
        <w:widowControl w:val="0"/>
        <w:kinsoku/>
        <w:wordWrap/>
        <w:overflowPunct/>
        <w:topLinePunct w:val="0"/>
        <w:autoSpaceDE/>
        <w:autoSpaceDN/>
        <w:bidi w:val="0"/>
        <w:adjustRightInd w:val="0"/>
        <w:snapToGrid/>
        <w:textAlignment w:val="auto"/>
        <w:outlineLvl w:val="9"/>
        <w:rPr>
          <w:rFonts w:hint="eastAsia"/>
          <w:color w:val="auto"/>
          <w:highlight w:val="none"/>
        </w:rPr>
      </w:pPr>
    </w:p>
    <w:p>
      <w:pPr>
        <w:pStyle w:val="36"/>
        <w:keepNext w:val="0"/>
        <w:keepLines w:val="0"/>
        <w:pageBreakBefore w:val="0"/>
        <w:widowControl w:val="0"/>
        <w:kinsoku/>
        <w:wordWrap/>
        <w:overflowPunct/>
        <w:topLinePunct w:val="0"/>
        <w:autoSpaceDE/>
        <w:autoSpaceDN/>
        <w:bidi w:val="0"/>
        <w:adjustRightInd w:val="0"/>
        <w:snapToGrid/>
        <w:textAlignment w:val="auto"/>
        <w:outlineLvl w:val="9"/>
        <w:rPr>
          <w:rFonts w:hint="eastAsia"/>
          <w:color w:val="auto"/>
          <w:highlight w:val="none"/>
        </w:rPr>
        <w:sectPr>
          <w:pgSz w:w="16838" w:h="11906" w:orient="landscape"/>
          <w:pgMar w:top="1304" w:right="1417" w:bottom="1304" w:left="1417" w:header="851" w:footer="992" w:gutter="0"/>
          <w:cols w:space="425" w:num="1"/>
          <w:docGrid w:type="lines" w:linePitch="312" w:charSpace="0"/>
        </w:sectPr>
      </w:pPr>
    </w:p>
    <w:p>
      <w:pPr>
        <w:pStyle w:val="36"/>
        <w:ind w:left="0" w:leftChars="0"/>
        <w:rPr>
          <w:rFonts w:hint="eastAsia"/>
          <w:color w:val="auto"/>
          <w:highlight w:val="none"/>
        </w:rPr>
      </w:pPr>
      <w:r>
        <w:rPr>
          <w:rFonts w:hint="eastAsia"/>
          <w:color w:val="auto"/>
          <w:highlight w:val="none"/>
        </w:rPr>
        <w:t>表4.2.</w:t>
      </w:r>
      <w:r>
        <w:rPr>
          <w:rFonts w:hint="eastAsia"/>
          <w:color w:val="auto"/>
          <w:highlight w:val="none"/>
          <w:lang w:val="en-US" w:eastAsia="zh-CN"/>
        </w:rPr>
        <w:t>10</w:t>
      </w:r>
      <w:r>
        <w:rPr>
          <w:rFonts w:hint="eastAsia"/>
          <w:color w:val="auto"/>
          <w:highlight w:val="none"/>
        </w:rPr>
        <w:t xml:space="preserve">  本项目</w:t>
      </w:r>
      <w:r>
        <w:rPr>
          <w:rFonts w:hint="eastAsia"/>
          <w:color w:val="auto"/>
          <w:highlight w:val="none"/>
          <w:lang w:val="en-US" w:eastAsia="zh-CN"/>
        </w:rPr>
        <w:t>卸矿站和混矿库无组织</w:t>
      </w:r>
      <w:r>
        <w:rPr>
          <w:rFonts w:hint="eastAsia"/>
          <w:color w:val="auto"/>
          <w:highlight w:val="none"/>
        </w:rPr>
        <w:t>废气产生量和排放量一览表</w:t>
      </w:r>
    </w:p>
    <w:tbl>
      <w:tblPr>
        <w:tblStyle w:val="20"/>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40"/>
        <w:gridCol w:w="848"/>
        <w:gridCol w:w="4452"/>
        <w:gridCol w:w="1844"/>
        <w:gridCol w:w="1471"/>
        <w:gridCol w:w="1644"/>
        <w:gridCol w:w="1844"/>
        <w:gridCol w:w="14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编号</w:t>
            </w: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车间</w:t>
            </w: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产污环节</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产生速率（</w:t>
            </w:r>
            <w:r>
              <w:rPr>
                <w:rFonts w:hint="default" w:ascii="Times New Roman" w:hAnsi="Times New Roman" w:eastAsia="宋体" w:cs="Times New Roman"/>
                <w:i w:val="0"/>
                <w:iCs w:val="0"/>
                <w:color w:val="auto"/>
                <w:kern w:val="0"/>
                <w:sz w:val="20"/>
                <w:szCs w:val="20"/>
                <w:highlight w:val="none"/>
                <w:u w:val="none"/>
                <w:lang w:val="en-US" w:eastAsia="zh-CN" w:bidi="ar"/>
              </w:rPr>
              <w:t>kg/h</w:t>
            </w:r>
            <w:r>
              <w:rPr>
                <w:rFonts w:hint="eastAsia" w:ascii="Times New Roman" w:hAnsi="Times New Roman" w:eastAsia="宋体" w:cs="Times New Roman"/>
                <w:i w:val="0"/>
                <w:iCs w:val="0"/>
                <w:color w:val="auto"/>
                <w:kern w:val="0"/>
                <w:sz w:val="20"/>
                <w:szCs w:val="20"/>
                <w:highlight w:val="none"/>
                <w:u w:val="none"/>
                <w:lang w:val="en-US" w:eastAsia="zh-CN" w:bidi="ar"/>
              </w:rPr>
              <w:t>）</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产生量（</w:t>
            </w:r>
            <w:r>
              <w:rPr>
                <w:rFonts w:hint="default" w:ascii="Times New Roman" w:hAnsi="Times New Roman" w:eastAsia="宋体" w:cs="Times New Roman"/>
                <w:i w:val="0"/>
                <w:iCs w:val="0"/>
                <w:color w:val="auto"/>
                <w:kern w:val="0"/>
                <w:sz w:val="20"/>
                <w:szCs w:val="20"/>
                <w:highlight w:val="none"/>
                <w:u w:val="none"/>
                <w:lang w:val="en-US" w:eastAsia="zh-CN" w:bidi="ar"/>
              </w:rPr>
              <w:t>t/a</w:t>
            </w:r>
            <w:r>
              <w:rPr>
                <w:rFonts w:hint="eastAsia" w:ascii="Times New Roman" w:hAnsi="Times New Roman" w:eastAsia="宋体" w:cs="Times New Roman"/>
                <w:i w:val="0"/>
                <w:iCs w:val="0"/>
                <w:color w:val="auto"/>
                <w:kern w:val="0"/>
                <w:sz w:val="20"/>
                <w:szCs w:val="20"/>
                <w:highlight w:val="none"/>
                <w:u w:val="none"/>
                <w:lang w:val="en-US" w:eastAsia="zh-CN" w:bidi="ar"/>
              </w:rPr>
              <w:t>）</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净化效率（</w:t>
            </w:r>
            <w:r>
              <w:rPr>
                <w:rFonts w:hint="default" w:ascii="Times New Roman" w:hAnsi="Times New Roman" w:eastAsia="宋体" w:cs="Times New Roman"/>
                <w:i w:val="0"/>
                <w:iCs w:val="0"/>
                <w:color w:val="auto"/>
                <w:kern w:val="0"/>
                <w:sz w:val="20"/>
                <w:szCs w:val="20"/>
                <w:highlight w:val="none"/>
                <w:u w:val="none"/>
                <w:lang w:val="en-US" w:eastAsia="zh-CN" w:bidi="ar"/>
              </w:rPr>
              <w:t>%</w:t>
            </w:r>
            <w:r>
              <w:rPr>
                <w:rFonts w:hint="eastAsia" w:ascii="Times New Roman" w:hAnsi="Times New Roman" w:eastAsia="宋体" w:cs="Times New Roman"/>
                <w:i w:val="0"/>
                <w:iCs w:val="0"/>
                <w:color w:val="auto"/>
                <w:kern w:val="0"/>
                <w:sz w:val="20"/>
                <w:szCs w:val="20"/>
                <w:highlight w:val="none"/>
                <w:u w:val="none"/>
                <w:lang w:val="en-US" w:eastAsia="zh-CN" w:bidi="ar"/>
              </w:rPr>
              <w:t>）</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排放速率（</w:t>
            </w:r>
            <w:r>
              <w:rPr>
                <w:rFonts w:hint="default" w:ascii="Times New Roman" w:hAnsi="Times New Roman" w:eastAsia="宋体" w:cs="Times New Roman"/>
                <w:i w:val="0"/>
                <w:iCs w:val="0"/>
                <w:color w:val="auto"/>
                <w:kern w:val="0"/>
                <w:sz w:val="20"/>
                <w:szCs w:val="20"/>
                <w:highlight w:val="none"/>
                <w:u w:val="none"/>
                <w:lang w:val="en-US" w:eastAsia="zh-CN" w:bidi="ar"/>
              </w:rPr>
              <w:t>kg/h</w:t>
            </w:r>
            <w:r>
              <w:rPr>
                <w:rFonts w:hint="eastAsia" w:ascii="Times New Roman" w:hAnsi="Times New Roman" w:eastAsia="宋体" w:cs="Times New Roman"/>
                <w:i w:val="0"/>
                <w:iCs w:val="0"/>
                <w:color w:val="auto"/>
                <w:kern w:val="0"/>
                <w:sz w:val="20"/>
                <w:szCs w:val="20"/>
                <w:highlight w:val="none"/>
                <w:u w:val="none"/>
                <w:lang w:val="en-US" w:eastAsia="zh-CN" w:bidi="ar"/>
              </w:rPr>
              <w:t>）</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排放量（</w:t>
            </w:r>
            <w:r>
              <w:rPr>
                <w:rFonts w:hint="default" w:ascii="Times New Roman" w:hAnsi="Times New Roman" w:eastAsia="宋体" w:cs="Times New Roman"/>
                <w:i w:val="0"/>
                <w:iCs w:val="0"/>
                <w:color w:val="auto"/>
                <w:kern w:val="0"/>
                <w:sz w:val="20"/>
                <w:szCs w:val="20"/>
                <w:highlight w:val="none"/>
                <w:u w:val="none"/>
                <w:lang w:val="en-US" w:eastAsia="zh-CN" w:bidi="ar"/>
              </w:rPr>
              <w:t>t/a</w:t>
            </w:r>
            <w:r>
              <w:rPr>
                <w:rFonts w:hint="eastAsia" w:ascii="Times New Roman" w:hAnsi="Times New Roman" w:eastAsia="宋体" w:cs="Times New Roman"/>
                <w:i w:val="0"/>
                <w:iCs w:val="0"/>
                <w:color w:val="auto"/>
                <w:kern w:val="0"/>
                <w:sz w:val="20"/>
                <w:szCs w:val="20"/>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卸矿站</w:t>
            </w: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1#胶带输送机受料粉尘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0.101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0.800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0.101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0.800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原料堆场扬尘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0.912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7.221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0.002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拆包粉尘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0.126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5#胶带输送机卸料粉尘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0.013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0.100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0.013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0.100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7</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r>
              <w:rPr>
                <w:rFonts w:hint="eastAsia" w:ascii="Times New Roman" w:hAnsi="Times New Roman" w:eastAsia="宋体" w:cs="Times New Roman"/>
                <w:i w:val="0"/>
                <w:iCs w:val="0"/>
                <w:color w:val="auto"/>
                <w:kern w:val="0"/>
                <w:sz w:val="20"/>
                <w:szCs w:val="20"/>
                <w:highlight w:val="none"/>
                <w:u w:val="none"/>
                <w:lang w:val="en-US" w:eastAsia="zh-CN" w:bidi="ar"/>
              </w:rPr>
              <w:t>混矿库</w:t>
            </w: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4#胶带输送机卸料粉尘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0.127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1.007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8</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S-15皮带廊进料带式输送机卸料粉尘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0.127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1.007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9</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S-1进料带式输送机(东西向)卸料粉尘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0.127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1.007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10</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S-3进料带式输送机(南北向)卸料粉尘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0.127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1.007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11</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S-6原料矿布料带式输送机(东西向)卸料粉尘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0.127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1.007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12</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混矿库原料堆场扬尘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1.148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9.090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13</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配料粉尘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1.646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13.038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0.004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0.034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14</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混矿粉尘（S-10卸料、S-7上料）</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0.165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1.308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0.0004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15</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S-7混料仓带式输送机(东西向)卸料粉尘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0.128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1.014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16</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S-8混料仓带式输送机(南北向)卸料粉尘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0.128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1.014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17</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S-5成品矿布料带式输送机(东西向)卸料粉尘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0.128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1.014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18</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混矿库成品堆场扬尘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1.148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9.091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19</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S-9成品矿带式输送机(东西向)上料和卸料粉尘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0.166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1.313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0.0004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20</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S-4出料带式输送机(南北向)卸料粉尘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21</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S-2出料带式输送机(东西向)卸料粉尘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22</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eastAsia"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S-14皮带廊出料带式输送机(南北向)卸料粉尘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23</w:t>
            </w:r>
          </w:p>
        </w:tc>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卸矿站</w:t>
            </w: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3#胶带输送机卸料粉尘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24</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卸矿站成品堆场扬尘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1.152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9.123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25</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6#胶带输送机卸料粉尘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26</w:t>
            </w:r>
          </w:p>
        </w:tc>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2#胶带输送机卸料粉尘</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0.129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1.018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0.997 </w:t>
            </w: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0.0003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0.003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 w:hRule="atLeast"/>
        </w:trPr>
        <w:tc>
          <w:tcPr>
            <w:tcW w:w="2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合计</w:t>
            </w:r>
          </w:p>
        </w:tc>
        <w:tc>
          <w:tcPr>
            <w:tcW w:w="2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15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8.481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67.170 </w:t>
            </w:r>
          </w:p>
        </w:tc>
        <w:tc>
          <w:tcPr>
            <w:tcW w:w="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p>
        </w:tc>
        <w:tc>
          <w:tcPr>
            <w:tcW w:w="6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0.022 </w:t>
            </w:r>
          </w:p>
        </w:tc>
        <w:tc>
          <w:tcPr>
            <w:tcW w:w="5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jc w:val="center"/>
              <w:textAlignment w:val="center"/>
              <w:rPr>
                <w:rFonts w:hint="default" w:ascii="Times New Roman" w:hAnsi="Times New Roman" w:eastAsia="宋体" w:cs="Times New Roman"/>
                <w:i w:val="0"/>
                <w:iCs w:val="0"/>
                <w:color w:val="auto"/>
                <w:kern w:val="0"/>
                <w:sz w:val="20"/>
                <w:szCs w:val="20"/>
                <w:highlight w:val="none"/>
                <w:u w:val="none"/>
                <w:lang w:val="en-US" w:eastAsia="zh-CN" w:bidi="ar"/>
              </w:rPr>
            </w:pPr>
            <w:r>
              <w:rPr>
                <w:rFonts w:hint="default" w:ascii="Times New Roman" w:hAnsi="Times New Roman" w:eastAsia="宋体" w:cs="Times New Roman"/>
                <w:i w:val="0"/>
                <w:iCs w:val="0"/>
                <w:color w:val="auto"/>
                <w:kern w:val="0"/>
                <w:sz w:val="20"/>
                <w:szCs w:val="20"/>
                <w:highlight w:val="none"/>
                <w:u w:val="none"/>
                <w:lang w:val="en-US" w:eastAsia="zh-CN" w:bidi="ar"/>
              </w:rPr>
              <w:t xml:space="preserve">0.175 </w:t>
            </w:r>
          </w:p>
        </w:tc>
      </w:tr>
    </w:tbl>
    <w:p>
      <w:pPr>
        <w:pStyle w:val="36"/>
        <w:keepNext w:val="0"/>
        <w:keepLines w:val="0"/>
        <w:pageBreakBefore w:val="0"/>
        <w:widowControl w:val="0"/>
        <w:kinsoku/>
        <w:wordWrap/>
        <w:overflowPunct/>
        <w:topLinePunct w:val="0"/>
        <w:autoSpaceDE/>
        <w:autoSpaceDN/>
        <w:bidi w:val="0"/>
        <w:adjustRightInd w:val="0"/>
        <w:snapToGrid/>
        <w:jc w:val="both"/>
        <w:textAlignment w:val="auto"/>
        <w:outlineLvl w:val="9"/>
        <w:rPr>
          <w:rFonts w:hint="eastAsia"/>
          <w:color w:val="auto"/>
          <w:highlight w:val="none"/>
        </w:rPr>
      </w:pPr>
    </w:p>
    <w:p>
      <w:pPr>
        <w:pStyle w:val="36"/>
        <w:rPr>
          <w:rFonts w:hint="eastAsia"/>
          <w:color w:val="auto"/>
          <w:highlight w:val="none"/>
        </w:rPr>
        <w:sectPr>
          <w:pgSz w:w="16838" w:h="11906" w:orient="landscape"/>
          <w:pgMar w:top="1020" w:right="1417" w:bottom="1134" w:left="1417" w:header="851" w:footer="992" w:gutter="0"/>
          <w:cols w:space="425" w:num="1"/>
          <w:docGrid w:type="lines" w:linePitch="312" w:charSpace="0"/>
        </w:sectPr>
      </w:pPr>
    </w:p>
    <w:p>
      <w:pPr>
        <w:pStyle w:val="36"/>
        <w:rPr>
          <w:color w:val="auto"/>
          <w:highlight w:val="none"/>
        </w:rPr>
      </w:pPr>
      <w:r>
        <w:rPr>
          <w:rFonts w:hint="eastAsia"/>
          <w:color w:val="auto"/>
          <w:highlight w:val="none"/>
        </w:rPr>
        <w:t>表4.2.</w:t>
      </w:r>
      <w:r>
        <w:rPr>
          <w:rFonts w:hint="eastAsia"/>
          <w:color w:val="auto"/>
          <w:highlight w:val="none"/>
          <w:lang w:val="en-US" w:eastAsia="zh-CN"/>
        </w:rPr>
        <w:t>11</w:t>
      </w:r>
      <w:r>
        <w:rPr>
          <w:rFonts w:hint="eastAsia"/>
          <w:color w:val="auto"/>
          <w:highlight w:val="none"/>
        </w:rPr>
        <w:t xml:space="preserve">  本项目废气产生量和排放量一览表</w:t>
      </w:r>
    </w:p>
    <w:tbl>
      <w:tblPr>
        <w:tblStyle w:val="2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2"/>
        <w:gridCol w:w="3669"/>
        <w:gridCol w:w="840"/>
        <w:gridCol w:w="891"/>
        <w:gridCol w:w="1110"/>
        <w:gridCol w:w="1290"/>
        <w:gridCol w:w="1125"/>
        <w:gridCol w:w="1155"/>
        <w:gridCol w:w="1800"/>
        <w:gridCol w:w="1020"/>
        <w:gridCol w:w="1378"/>
        <w:gridCol w:w="1220"/>
        <w:gridCol w:w="1008"/>
        <w:gridCol w:w="976"/>
        <w:gridCol w:w="921"/>
        <w:gridCol w:w="1008"/>
        <w:gridCol w:w="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7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生产线</w:t>
            </w:r>
          </w:p>
        </w:tc>
        <w:tc>
          <w:tcPr>
            <w:tcW w:w="36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装置</w:t>
            </w:r>
          </w:p>
        </w:tc>
        <w:tc>
          <w:tcPr>
            <w:tcW w:w="8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污染源</w:t>
            </w:r>
          </w:p>
        </w:tc>
        <w:tc>
          <w:tcPr>
            <w:tcW w:w="8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w:t>
            </w:r>
          </w:p>
        </w:tc>
        <w:tc>
          <w:tcPr>
            <w:tcW w:w="468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污染物产生</w:t>
            </w:r>
          </w:p>
        </w:tc>
        <w:tc>
          <w:tcPr>
            <w:tcW w:w="28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治理措施</w:t>
            </w:r>
          </w:p>
        </w:tc>
        <w:tc>
          <w:tcPr>
            <w:tcW w:w="458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污染物排放</w:t>
            </w:r>
          </w:p>
        </w:tc>
        <w:tc>
          <w:tcPr>
            <w:tcW w:w="9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排放时间h</w:t>
            </w:r>
          </w:p>
        </w:tc>
        <w:tc>
          <w:tcPr>
            <w:tcW w:w="18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07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36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8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核算方法</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废气产生量m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产生量kg/h</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工艺</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效率%</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核算方法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废气排放量m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9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排放量kg/h</w:t>
            </w:r>
          </w:p>
        </w:tc>
        <w:tc>
          <w:tcPr>
            <w:tcW w:w="9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浓度mg/m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速率kg/h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原料输入</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M-9#转运站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77.186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0.540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塑烧板除尘器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99.50%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0.386 </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卸矿站</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1#~3#、5#~6#胶带输送机</w:t>
            </w:r>
            <w:r>
              <w:rPr>
                <w:rFonts w:hint="eastAsia" w:ascii="Times New Roman" w:hAnsi="Times New Roman" w:eastAsia="宋体" w:cs="Times New Roman"/>
                <w:i w:val="0"/>
                <w:iCs w:val="0"/>
                <w:color w:val="auto"/>
                <w:kern w:val="0"/>
                <w:sz w:val="21"/>
                <w:szCs w:val="21"/>
                <w:highlight w:val="none"/>
                <w:u w:val="none"/>
                <w:lang w:val="en-US" w:eastAsia="zh-CN" w:bidi="ar"/>
              </w:rPr>
              <w:t>卸料点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DA002</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114.899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5.515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塑烧板除尘器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99.50%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48000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0.574 </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0.028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混矿库</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S-2~5、S-6、S-9、S-14号等输送机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DA003</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131.304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8.403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塑烧板除尘器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99.50%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64000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0.657 </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0.042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混矿库</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卸矿站4#胶带输送机、S-1、S-7、S-8、S-10、S-15等输送机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DA004</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96.341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7.226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塑烧板除尘器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99.50%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75000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0.482 </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0.036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成品输出</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M-9#转运站</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DA001</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7000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98.196 </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0.687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塑烧板除尘器</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99.50%</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7000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0.491 </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3675</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卸矿站</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原料堆场、成品堆场、1~3#胶带输送机、5#~6#胶带输送机受料点和卸料点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2.802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智能高压喷雾抑尘装置，封闭车间沉降</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99.74%</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0.007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0" w:hRule="atLeast"/>
        </w:trPr>
        <w:tc>
          <w:tcPr>
            <w:tcW w:w="10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混矿库</w:t>
            </w:r>
          </w:p>
        </w:tc>
        <w:tc>
          <w:tcPr>
            <w:tcW w:w="366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4#胶带输送机，混矿库S-1~S-15号等输送机卸料点及配料皮带秤卸料点</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8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产排污系数</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5.678 </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智能高压喷雾抑尘装置，封闭车间沉降</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99.74%</w:t>
            </w:r>
          </w:p>
        </w:tc>
        <w:tc>
          <w:tcPr>
            <w:tcW w:w="13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物料衡算法</w:t>
            </w:r>
          </w:p>
        </w:tc>
        <w:tc>
          <w:tcPr>
            <w:tcW w:w="12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0.015 </w:t>
            </w:r>
          </w:p>
        </w:tc>
        <w:tc>
          <w:tcPr>
            <w:tcW w:w="9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7920</w:t>
            </w:r>
          </w:p>
        </w:tc>
        <w:tc>
          <w:tcPr>
            <w:tcW w:w="10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8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bl>
    <w:p>
      <w:pPr>
        <w:pStyle w:val="32"/>
        <w:ind w:firstLine="0" w:firstLineChars="0"/>
        <w:rPr>
          <w:color w:val="auto"/>
          <w:highlight w:val="none"/>
        </w:rPr>
      </w:pPr>
    </w:p>
    <w:p>
      <w:pPr>
        <w:pStyle w:val="32"/>
        <w:ind w:firstLine="0" w:firstLineChars="0"/>
        <w:rPr>
          <w:color w:val="auto"/>
          <w:highlight w:val="none"/>
        </w:rPr>
        <w:sectPr>
          <w:pgSz w:w="23811" w:h="16838" w:orient="landscape"/>
          <w:pgMar w:top="1304" w:right="1417" w:bottom="1304" w:left="1304" w:header="851" w:footer="992" w:gutter="0"/>
          <w:cols w:space="425" w:num="1"/>
          <w:docGrid w:type="lines" w:linePitch="312" w:charSpace="0"/>
        </w:sectPr>
      </w:pPr>
    </w:p>
    <w:tbl>
      <w:tblPr>
        <w:tblStyle w:val="20"/>
        <w:tblW w:w="512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88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420" w:type="pct"/>
            <w:tcMar>
              <w:left w:w="28" w:type="dxa"/>
              <w:right w:w="28" w:type="dxa"/>
            </w:tcMar>
            <w:vAlign w:val="center"/>
          </w:tcPr>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运营</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期环</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境影</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响和</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保护</w:t>
            </w:r>
          </w:p>
          <w:p>
            <w:pPr>
              <w:pStyle w:val="16"/>
              <w:adjustRightInd w:val="0"/>
              <w:snapToGrid w:val="0"/>
              <w:spacing w:before="0" w:beforeAutospacing="0" w:after="0" w:afterAutospacing="0"/>
              <w:jc w:val="center"/>
              <w:rPr>
                <w:rFonts w:hint="eastAsia" w:cs="宋体"/>
                <w:color w:val="auto"/>
                <w:kern w:val="2"/>
                <w:sz w:val="21"/>
                <w:szCs w:val="21"/>
                <w:highlight w:val="none"/>
              </w:rPr>
            </w:pPr>
            <w:r>
              <w:rPr>
                <w:rFonts w:hint="eastAsia" w:cs="宋体"/>
                <w:color w:val="auto"/>
                <w:kern w:val="2"/>
                <w:sz w:val="21"/>
                <w:szCs w:val="21"/>
                <w:highlight w:val="none"/>
              </w:rPr>
              <w:t>措施</w:t>
            </w:r>
          </w:p>
        </w:tc>
        <w:tc>
          <w:tcPr>
            <w:tcW w:w="4579" w:type="pct"/>
            <w:vAlign w:val="center"/>
          </w:tcPr>
          <w:p>
            <w:pPr>
              <w:pStyle w:val="42"/>
              <w:tabs>
                <w:tab w:val="left" w:pos="0"/>
              </w:tabs>
              <w:rPr>
                <w:color w:val="auto"/>
                <w:highlight w:val="none"/>
              </w:rPr>
            </w:pPr>
            <w:r>
              <w:rPr>
                <w:rFonts w:hint="eastAsia"/>
                <w:color w:val="auto"/>
                <w:highlight w:val="none"/>
              </w:rPr>
              <w:t>4.2.1.2 废气污染物排放源分析</w:t>
            </w:r>
          </w:p>
          <w:p>
            <w:pPr>
              <w:spacing w:line="360" w:lineRule="auto"/>
              <w:ind w:firstLine="480" w:firstLineChars="200"/>
              <w:rPr>
                <w:color w:val="auto"/>
                <w:sz w:val="24"/>
                <w:highlight w:val="none"/>
              </w:rPr>
            </w:pPr>
            <w:r>
              <w:rPr>
                <w:color w:val="auto"/>
                <w:sz w:val="24"/>
                <w:highlight w:val="none"/>
              </w:rPr>
              <w:t>废气污染物</w:t>
            </w:r>
            <w:r>
              <w:rPr>
                <w:rFonts w:hint="eastAsia"/>
                <w:color w:val="auto"/>
                <w:sz w:val="24"/>
                <w:highlight w:val="none"/>
              </w:rPr>
              <w:t>产生和</w:t>
            </w:r>
            <w:r>
              <w:rPr>
                <w:color w:val="auto"/>
                <w:sz w:val="24"/>
                <w:highlight w:val="none"/>
              </w:rPr>
              <w:t>排放</w:t>
            </w:r>
            <w:r>
              <w:rPr>
                <w:rFonts w:hint="eastAsia"/>
                <w:color w:val="auto"/>
                <w:sz w:val="24"/>
                <w:highlight w:val="none"/>
              </w:rPr>
              <w:t>情况</w:t>
            </w:r>
            <w:r>
              <w:rPr>
                <w:color w:val="auto"/>
                <w:sz w:val="24"/>
                <w:highlight w:val="none"/>
              </w:rPr>
              <w:t>详见表4.2</w:t>
            </w:r>
            <w:r>
              <w:rPr>
                <w:rFonts w:hint="eastAsia"/>
                <w:color w:val="auto"/>
                <w:sz w:val="24"/>
                <w:highlight w:val="none"/>
              </w:rPr>
              <w:t>.</w:t>
            </w:r>
            <w:r>
              <w:rPr>
                <w:rFonts w:hint="eastAsia"/>
                <w:color w:val="auto"/>
                <w:sz w:val="24"/>
                <w:highlight w:val="none"/>
                <w:lang w:val="en-US" w:eastAsia="zh-CN"/>
              </w:rPr>
              <w:t>11</w:t>
            </w:r>
            <w:r>
              <w:rPr>
                <w:color w:val="auto"/>
                <w:sz w:val="24"/>
                <w:highlight w:val="none"/>
              </w:rPr>
              <w:t>；排放口基本情况见表4.2</w:t>
            </w:r>
            <w:r>
              <w:rPr>
                <w:rFonts w:hint="eastAsia"/>
                <w:color w:val="auto"/>
                <w:sz w:val="24"/>
                <w:highlight w:val="none"/>
              </w:rPr>
              <w:t>.2</w:t>
            </w:r>
            <w:r>
              <w:rPr>
                <w:color w:val="auto"/>
                <w:sz w:val="24"/>
                <w:highlight w:val="none"/>
              </w:rPr>
              <w:t>。</w:t>
            </w:r>
          </w:p>
          <w:p>
            <w:pPr>
              <w:pStyle w:val="42"/>
              <w:tabs>
                <w:tab w:val="left" w:pos="0"/>
              </w:tabs>
              <w:rPr>
                <w:color w:val="auto"/>
                <w:highlight w:val="none"/>
              </w:rPr>
            </w:pPr>
            <w:r>
              <w:rPr>
                <w:rFonts w:hint="eastAsia"/>
                <w:color w:val="auto"/>
                <w:highlight w:val="none"/>
              </w:rPr>
              <w:t>4.2.1.3 大气环境影响分析</w:t>
            </w:r>
          </w:p>
          <w:p>
            <w:pPr>
              <w:spacing w:line="360" w:lineRule="auto"/>
              <w:ind w:firstLine="480" w:firstLineChars="200"/>
              <w:rPr>
                <w:color w:val="auto"/>
                <w:sz w:val="24"/>
                <w:highlight w:val="none"/>
              </w:rPr>
            </w:pPr>
            <w:r>
              <w:rPr>
                <w:rFonts w:hint="eastAsia"/>
                <w:color w:val="auto"/>
                <w:sz w:val="24"/>
                <w:highlight w:val="none"/>
              </w:rPr>
              <w:t>1.达标排放</w:t>
            </w:r>
          </w:p>
          <w:p>
            <w:pPr>
              <w:spacing w:line="360" w:lineRule="auto"/>
              <w:ind w:firstLine="480" w:firstLineChars="200"/>
              <w:rPr>
                <w:color w:val="auto"/>
                <w:sz w:val="24"/>
                <w:highlight w:val="none"/>
              </w:rPr>
            </w:pPr>
            <w:r>
              <w:rPr>
                <w:color w:val="auto"/>
                <w:sz w:val="24"/>
                <w:highlight w:val="none"/>
              </w:rPr>
              <w:t>由表</w:t>
            </w:r>
            <w:r>
              <w:rPr>
                <w:rFonts w:hint="eastAsia"/>
                <w:color w:val="auto"/>
                <w:sz w:val="24"/>
                <w:highlight w:val="none"/>
              </w:rPr>
              <w:t>4.2.</w:t>
            </w:r>
            <w:r>
              <w:rPr>
                <w:rFonts w:hint="eastAsia"/>
                <w:color w:val="auto"/>
                <w:sz w:val="24"/>
                <w:highlight w:val="none"/>
                <w:lang w:val="en-US" w:eastAsia="zh-CN"/>
              </w:rPr>
              <w:t>11</w:t>
            </w:r>
            <w:r>
              <w:rPr>
                <w:color w:val="auto"/>
                <w:sz w:val="24"/>
                <w:highlight w:val="none"/>
              </w:rPr>
              <w:t>可知，</w:t>
            </w:r>
            <w:r>
              <w:rPr>
                <w:rFonts w:hint="eastAsia"/>
                <w:color w:val="auto"/>
                <w:sz w:val="24"/>
                <w:highlight w:val="none"/>
              </w:rPr>
              <w:t>各环节</w:t>
            </w:r>
            <w:r>
              <w:rPr>
                <w:color w:val="auto"/>
                <w:sz w:val="24"/>
                <w:highlight w:val="none"/>
              </w:rPr>
              <w:t>颗粒物排放浓度</w:t>
            </w:r>
            <w:r>
              <w:rPr>
                <w:rFonts w:hint="eastAsia"/>
                <w:color w:val="auto"/>
                <w:sz w:val="24"/>
                <w:highlight w:val="none"/>
              </w:rPr>
              <w:t>、</w:t>
            </w:r>
            <w:r>
              <w:rPr>
                <w:color w:val="auto"/>
                <w:sz w:val="24"/>
                <w:highlight w:val="none"/>
              </w:rPr>
              <w:t>排放速率能够满足《大气污染物综合排放标准》（GB16297-1996）表2新污染源大气污染物排放限值要求。</w:t>
            </w:r>
          </w:p>
          <w:p>
            <w:pPr>
              <w:spacing w:line="360" w:lineRule="auto"/>
              <w:ind w:firstLine="480" w:firstLineChars="200"/>
              <w:rPr>
                <w:color w:val="auto"/>
                <w:sz w:val="24"/>
                <w:highlight w:val="none"/>
              </w:rPr>
            </w:pPr>
            <w:r>
              <w:rPr>
                <w:color w:val="auto"/>
                <w:sz w:val="24"/>
                <w:highlight w:val="none"/>
              </w:rPr>
              <w:t>堆场扬尘和未被收集的粉尘通过在封闭式车间内作业，车间内设置智能高压喷雾抑尘装置，在卸车、上料、转运、装车等产尘点洒水降尘等措施，降低无组织废气排放量。颗粒物厂界浓度满足《大气污染物综合排放标准》（GB16297-1996）表2无组织排放监控浓度限值要求。</w:t>
            </w:r>
          </w:p>
          <w:p>
            <w:pPr>
              <w:spacing w:line="360" w:lineRule="auto"/>
              <w:ind w:firstLine="480" w:firstLineChars="200"/>
              <w:rPr>
                <w:color w:val="auto"/>
                <w:sz w:val="24"/>
                <w:highlight w:val="none"/>
              </w:rPr>
            </w:pPr>
            <w:r>
              <w:rPr>
                <w:rFonts w:hint="eastAsia"/>
                <w:color w:val="auto"/>
                <w:sz w:val="24"/>
                <w:highlight w:val="none"/>
              </w:rPr>
              <w:t>2.大气环境影响分析</w:t>
            </w:r>
          </w:p>
          <w:p>
            <w:pPr>
              <w:spacing w:line="360" w:lineRule="auto"/>
              <w:ind w:firstLine="480" w:firstLineChars="200"/>
              <w:rPr>
                <w:color w:val="auto"/>
                <w:sz w:val="24"/>
                <w:highlight w:val="none"/>
              </w:rPr>
            </w:pPr>
            <w:r>
              <w:rPr>
                <w:rFonts w:hint="eastAsia"/>
                <w:color w:val="auto"/>
                <w:sz w:val="24"/>
                <w:highlight w:val="none"/>
              </w:rPr>
              <w:t>本次评价使用《环境影响评价技术导则  大气环境》（HJ2.2-2018）中推荐的估算模型AERSCREEN，模拟正常工况下各大气污染物的环境影响计算结果。根据工程分析，建设项目涉及的废气排放源主要为原料堆场扬尘、配料粉尘、圆筒混料机进出口粉尘和成品库上料、落料和堆场扬尘，主要污染物为颗粒物，本评价主要分析颗粒物的影响。</w:t>
            </w:r>
          </w:p>
          <w:p>
            <w:pPr>
              <w:pStyle w:val="33"/>
              <w:rPr>
                <w:rFonts w:eastAsia="宋体"/>
                <w:color w:val="auto"/>
                <w:highlight w:val="none"/>
              </w:rPr>
            </w:pPr>
            <w:r>
              <w:rPr>
                <w:rFonts w:eastAsia="宋体"/>
                <w:color w:val="auto"/>
                <w:highlight w:val="none"/>
              </w:rPr>
              <w:t>表</w:t>
            </w:r>
            <w:r>
              <w:rPr>
                <w:rFonts w:hint="eastAsia" w:eastAsia="宋体"/>
                <w:color w:val="auto"/>
                <w:highlight w:val="none"/>
              </w:rPr>
              <w:t>4.2.</w:t>
            </w:r>
            <w:r>
              <w:rPr>
                <w:rFonts w:hint="eastAsia" w:eastAsia="宋体"/>
                <w:color w:val="auto"/>
                <w:highlight w:val="none"/>
                <w:lang w:val="en-US" w:eastAsia="zh-CN"/>
              </w:rPr>
              <w:t>12</w:t>
            </w:r>
            <w:r>
              <w:rPr>
                <w:rFonts w:hint="eastAsia" w:eastAsia="宋体"/>
                <w:color w:val="auto"/>
                <w:highlight w:val="none"/>
              </w:rPr>
              <w:t xml:space="preserve">  </w:t>
            </w:r>
            <w:r>
              <w:rPr>
                <w:rFonts w:eastAsia="宋体"/>
                <w:color w:val="auto"/>
                <w:highlight w:val="none"/>
              </w:rPr>
              <w:t>项目废气排放达标情况一览表</w:t>
            </w:r>
          </w:p>
          <w:tbl>
            <w:tblPr>
              <w:tblStyle w:val="20"/>
              <w:tblW w:w="0" w:type="auto"/>
              <w:tblInd w:w="0" w:type="dxa"/>
              <w:tblLayout w:type="autofit"/>
              <w:tblCellMar>
                <w:top w:w="0" w:type="dxa"/>
                <w:left w:w="108" w:type="dxa"/>
                <w:bottom w:w="0" w:type="dxa"/>
                <w:right w:w="108" w:type="dxa"/>
              </w:tblCellMar>
            </w:tblPr>
            <w:tblGrid>
              <w:gridCol w:w="1017"/>
              <w:gridCol w:w="982"/>
              <w:gridCol w:w="2131"/>
              <w:gridCol w:w="1500"/>
              <w:gridCol w:w="1929"/>
              <w:gridCol w:w="1056"/>
            </w:tblGrid>
            <w:tr>
              <w:tblPrEx>
                <w:tblCellMar>
                  <w:top w:w="0" w:type="dxa"/>
                  <w:left w:w="108" w:type="dxa"/>
                  <w:bottom w:w="0" w:type="dxa"/>
                  <w:right w:w="108" w:type="dxa"/>
                </w:tblCellMar>
              </w:tblPrEx>
              <w:trPr>
                <w:trHeight w:val="525" w:hRule="atLeast"/>
              </w:trPr>
              <w:tc>
                <w:tcPr>
                  <w:tcW w:w="10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污染源</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污染物</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最大落地浓度（μ</w:t>
                  </w:r>
                  <w:r>
                    <w:rPr>
                      <w:color w:val="auto"/>
                      <w:kern w:val="0"/>
                      <w:szCs w:val="21"/>
                      <w:highlight w:val="none"/>
                      <w:lang w:bidi="ar"/>
                    </w:rPr>
                    <w:t>g/m</w:t>
                  </w:r>
                  <w:r>
                    <w:rPr>
                      <w:color w:val="auto"/>
                      <w:kern w:val="0"/>
                      <w:szCs w:val="21"/>
                      <w:highlight w:val="none"/>
                      <w:vertAlign w:val="superscript"/>
                      <w:lang w:bidi="ar"/>
                    </w:rPr>
                    <w:t>3</w:t>
                  </w:r>
                  <w:r>
                    <w:rPr>
                      <w:rFonts w:hint="eastAsia" w:ascii="宋体" w:hAnsi="宋体" w:cs="宋体"/>
                      <w:color w:val="auto"/>
                      <w:kern w:val="0"/>
                      <w:szCs w:val="21"/>
                      <w:highlight w:val="none"/>
                      <w:lang w:bidi="ar"/>
                    </w:rPr>
                    <w:t>）</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占标率（</w:t>
                  </w:r>
                  <w:r>
                    <w:rPr>
                      <w:color w:val="auto"/>
                      <w:kern w:val="0"/>
                      <w:szCs w:val="21"/>
                      <w:highlight w:val="none"/>
                      <w:lang w:bidi="ar"/>
                    </w:rPr>
                    <w:t>%</w:t>
                  </w:r>
                  <w:r>
                    <w:rPr>
                      <w:rFonts w:hint="eastAsia" w:ascii="宋体" w:hAnsi="宋体" w:cs="宋体"/>
                      <w:color w:val="auto"/>
                      <w:kern w:val="0"/>
                      <w:szCs w:val="21"/>
                      <w:highlight w:val="none"/>
                      <w:lang w:bidi="ar"/>
                    </w:rPr>
                    <w:t>）</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最大落地浓度距离（</w:t>
                  </w:r>
                  <w:r>
                    <w:rPr>
                      <w:color w:val="auto"/>
                      <w:kern w:val="0"/>
                      <w:szCs w:val="21"/>
                      <w:highlight w:val="none"/>
                      <w:lang w:bidi="ar"/>
                    </w:rPr>
                    <w:t>m</w:t>
                  </w:r>
                  <w:r>
                    <w:rPr>
                      <w:rFonts w:hint="eastAsia" w:ascii="宋体" w:hAnsi="宋体" w:cs="宋体"/>
                      <w:color w:val="auto"/>
                      <w:kern w:val="0"/>
                      <w:szCs w:val="21"/>
                      <w:highlight w:val="none"/>
                      <w:lang w:bidi="ar"/>
                    </w:rPr>
                    <w:t>）</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达标情况</w:t>
                  </w:r>
                </w:p>
              </w:tc>
            </w:tr>
            <w:tr>
              <w:tblPrEx>
                <w:tblCellMar>
                  <w:top w:w="0" w:type="dxa"/>
                  <w:left w:w="108" w:type="dxa"/>
                  <w:bottom w:w="0" w:type="dxa"/>
                  <w:right w:w="108" w:type="dxa"/>
                </w:tblCellMar>
              </w:tblPrEx>
              <w:trPr>
                <w:trHeight w:val="285" w:hRule="atLeast"/>
              </w:trPr>
              <w:tc>
                <w:tcPr>
                  <w:tcW w:w="10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DA001</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5.857</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1.</w:t>
                  </w:r>
                  <w:r>
                    <w:rPr>
                      <w:rFonts w:hint="eastAsia"/>
                      <w:color w:val="auto"/>
                      <w:kern w:val="0"/>
                      <w:szCs w:val="21"/>
                      <w:highlight w:val="none"/>
                      <w:lang w:val="en-US" w:eastAsia="zh-CN" w:bidi="ar"/>
                    </w:rPr>
                    <w:t>6</w:t>
                  </w:r>
                  <w:r>
                    <w:rPr>
                      <w:color w:val="auto"/>
                      <w:kern w:val="0"/>
                      <w:szCs w:val="21"/>
                      <w:highlight w:val="none"/>
                      <w:lang w:bidi="ar"/>
                    </w:rPr>
                    <w:t>3</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DA002</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0.837</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23</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DA003</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0.359</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0.</w:t>
                  </w:r>
                  <w:r>
                    <w:rPr>
                      <w:rFonts w:hint="eastAsia"/>
                      <w:color w:val="auto"/>
                      <w:kern w:val="0"/>
                      <w:szCs w:val="21"/>
                      <w:highlight w:val="none"/>
                      <w:lang w:val="en-US" w:eastAsia="zh-CN" w:bidi="ar"/>
                    </w:rPr>
                    <w:t>10</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DA004</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0.359</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r>
                    <w:rPr>
                      <w:rFonts w:hint="eastAsia"/>
                      <w:color w:val="auto"/>
                      <w:kern w:val="0"/>
                      <w:szCs w:val="21"/>
                      <w:highlight w:val="none"/>
                      <w:lang w:val="en-US" w:eastAsia="zh-CN" w:bidi="ar"/>
                    </w:rPr>
                    <w:t>10</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卸矿站</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TSP</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31.815</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3.54</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18.399</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5.11</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color w:val="auto"/>
                      <w:kern w:val="0"/>
                      <w:szCs w:val="21"/>
                      <w:highlight w:val="none"/>
                      <w:lang w:val="en-US" w:eastAsia="zh-CN" w:bidi="ar"/>
                    </w:rPr>
                    <w:t>混矿</w:t>
                  </w:r>
                  <w:r>
                    <w:rPr>
                      <w:color w:val="auto"/>
                      <w:kern w:val="0"/>
                      <w:szCs w:val="21"/>
                      <w:highlight w:val="none"/>
                      <w:lang w:bidi="ar"/>
                    </w:rPr>
                    <w:t>库</w:t>
                  </w: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val="en-US" w:eastAsia="zh-CN" w:bidi="ar"/>
                    </w:rPr>
                    <w:t>TSP</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10.663</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1.18</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达标</w:t>
                  </w:r>
                </w:p>
              </w:tc>
            </w:tr>
            <w:tr>
              <w:tblPrEx>
                <w:tblCellMar>
                  <w:top w:w="0" w:type="dxa"/>
                  <w:left w:w="108" w:type="dxa"/>
                  <w:bottom w:w="0" w:type="dxa"/>
                  <w:right w:w="108" w:type="dxa"/>
                </w:tblCellMar>
              </w:tblPrEx>
              <w:trPr>
                <w:trHeight w:val="285" w:hRule="atLeast"/>
              </w:trPr>
              <w:tc>
                <w:tcPr>
                  <w:tcW w:w="101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8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PM</w:t>
                  </w:r>
                  <w:r>
                    <w:rPr>
                      <w:rFonts w:hint="eastAsia"/>
                      <w:color w:val="auto"/>
                      <w:kern w:val="0"/>
                      <w:szCs w:val="21"/>
                      <w:highlight w:val="none"/>
                      <w:vertAlign w:val="subscript"/>
                      <w:lang w:bidi="ar"/>
                    </w:rPr>
                    <w:t>10</w:t>
                  </w:r>
                </w:p>
              </w:tc>
              <w:tc>
                <w:tcPr>
                  <w:tcW w:w="21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rFonts w:hint="eastAsia"/>
                      <w:color w:val="auto"/>
                      <w:kern w:val="0"/>
                      <w:szCs w:val="21"/>
                      <w:highlight w:val="none"/>
                      <w:lang w:val="en-US" w:eastAsia="zh-CN" w:bidi="ar"/>
                    </w:rPr>
                    <w:t>6.173</w:t>
                  </w:r>
                </w:p>
              </w:tc>
              <w:tc>
                <w:tcPr>
                  <w:tcW w:w="15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eastAsia="宋体"/>
                      <w:color w:val="auto"/>
                      <w:szCs w:val="21"/>
                      <w:highlight w:val="none"/>
                      <w:lang w:val="en-US" w:eastAsia="zh-CN"/>
                    </w:rPr>
                  </w:pPr>
                  <w:r>
                    <w:rPr>
                      <w:color w:val="auto"/>
                      <w:kern w:val="0"/>
                      <w:szCs w:val="21"/>
                      <w:highlight w:val="none"/>
                      <w:lang w:bidi="ar"/>
                    </w:rPr>
                    <w:t>1.</w:t>
                  </w:r>
                  <w:r>
                    <w:rPr>
                      <w:rFonts w:hint="eastAsia"/>
                      <w:color w:val="auto"/>
                      <w:kern w:val="0"/>
                      <w:szCs w:val="21"/>
                      <w:highlight w:val="none"/>
                      <w:lang w:val="en-US" w:eastAsia="zh-CN" w:bidi="ar"/>
                    </w:rPr>
                    <w:t>71</w:t>
                  </w:r>
                </w:p>
              </w:tc>
              <w:tc>
                <w:tcPr>
                  <w:tcW w:w="19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0</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达标</w:t>
                  </w:r>
                </w:p>
              </w:tc>
            </w:tr>
          </w:tbl>
          <w:p>
            <w:pPr>
              <w:pStyle w:val="33"/>
              <w:rPr>
                <w:rFonts w:eastAsia="宋体"/>
                <w:color w:val="auto"/>
                <w:highlight w:val="none"/>
              </w:rPr>
            </w:pPr>
          </w:p>
          <w:p>
            <w:pPr>
              <w:spacing w:line="360" w:lineRule="auto"/>
              <w:ind w:firstLine="480" w:firstLineChars="200"/>
              <w:rPr>
                <w:color w:val="auto"/>
                <w:sz w:val="24"/>
                <w:highlight w:val="none"/>
              </w:rPr>
            </w:pPr>
            <w:r>
              <w:rPr>
                <w:rFonts w:hint="eastAsia"/>
                <w:color w:val="auto"/>
                <w:sz w:val="24"/>
                <w:highlight w:val="none"/>
              </w:rPr>
              <w:t>由上表可知，项目颗粒物有组织排放和无组织排放最大落地占标率均很低，项目废气排放对周边环境空气的影响较小。</w:t>
            </w:r>
          </w:p>
          <w:p>
            <w:pPr>
              <w:spacing w:line="360" w:lineRule="auto"/>
              <w:ind w:firstLine="480" w:firstLineChars="200"/>
              <w:rPr>
                <w:color w:val="auto"/>
                <w:sz w:val="24"/>
                <w:highlight w:val="none"/>
              </w:rPr>
            </w:pPr>
            <w:r>
              <w:rPr>
                <w:rFonts w:hint="eastAsia"/>
                <w:color w:val="auto"/>
                <w:sz w:val="24"/>
                <w:highlight w:val="none"/>
              </w:rPr>
              <w:t>综上所述，本项目营运期产生的废气经以上措施处理后可以达到《大气污染物综合排放标准》（GB16297-1996）表2中二级标准及无组织排放限值标准。项目运营期污染物达标排放后，对环境空气贡献值很小，不会对区域环境空气质量产生明显影响，不改变区域环境空气功能，因此本项目运营期对大气环境影响可以接受。综上，在采取相应环保措施的前提下，本项目废气可达标排放，对周边环境的影响不大。</w:t>
            </w:r>
          </w:p>
          <w:p>
            <w:pPr>
              <w:pStyle w:val="42"/>
              <w:tabs>
                <w:tab w:val="left" w:pos="0"/>
              </w:tabs>
              <w:rPr>
                <w:color w:val="auto"/>
                <w:highlight w:val="none"/>
              </w:rPr>
            </w:pPr>
            <w:r>
              <w:rPr>
                <w:rFonts w:hint="eastAsia"/>
                <w:color w:val="auto"/>
                <w:highlight w:val="none"/>
              </w:rPr>
              <w:t>4.2.1.3 废气治理措施可行性分析</w:t>
            </w:r>
          </w:p>
          <w:p>
            <w:pPr>
              <w:pStyle w:val="32"/>
              <w:ind w:firstLine="480"/>
              <w:rPr>
                <w:color w:val="auto"/>
                <w:highlight w:val="none"/>
              </w:rPr>
            </w:pPr>
            <w:r>
              <w:rPr>
                <w:rFonts w:hint="eastAsia"/>
                <w:color w:val="auto"/>
                <w:highlight w:val="none"/>
              </w:rPr>
              <w:t>本项目废气主要产生于码头卸料、运输扬尘（道路运输扬尘和皮带输送粉尘）、原料堆场扬尘、配料粉尘、圆筒混料机进出口粉尘、成品库内暂存过程粉尘和成品转运过程粉尘等。</w:t>
            </w:r>
          </w:p>
          <w:p>
            <w:pPr>
              <w:pStyle w:val="32"/>
              <w:ind w:firstLine="480"/>
              <w:rPr>
                <w:color w:val="auto"/>
                <w:highlight w:val="none"/>
              </w:rPr>
            </w:pPr>
            <w:r>
              <w:rPr>
                <w:rFonts w:hint="eastAsia"/>
                <w:color w:val="auto"/>
                <w:highlight w:val="none"/>
              </w:rPr>
              <w:t>参照《排污许可证申请与核发技术规范有色金属工业——铜冶炼》（HJ863.3—2017）“表4铜冶炼排污单位生产无组织排放控制要求表”，运输工序采取的控制措施为“（1）冶炼厂及矿区内粉状物料运输应采取</w:t>
            </w:r>
            <w:r>
              <w:rPr>
                <w:rFonts w:hint="eastAsia"/>
                <w:color w:val="auto"/>
                <w:highlight w:val="none"/>
                <w:lang w:eastAsia="zh-CN"/>
              </w:rPr>
              <w:t>封闭</w:t>
            </w:r>
            <w:r>
              <w:rPr>
                <w:rFonts w:hint="eastAsia"/>
                <w:color w:val="auto"/>
                <w:highlight w:val="none"/>
              </w:rPr>
              <w:t>措施。（2）冶炼厂及矿区内大宗物料转移、输送应采取皮带通廊、封闭式胶带输送机或流态化输送等输送方式。皮带通廊应封闭，带式输送机的受料点、卸料点采取喷雾等抑尘措施；或设置</w:t>
            </w:r>
            <w:r>
              <w:rPr>
                <w:rFonts w:hint="eastAsia"/>
                <w:color w:val="auto"/>
                <w:highlight w:val="none"/>
                <w:lang w:eastAsia="zh-CN"/>
              </w:rPr>
              <w:t>封闭</w:t>
            </w:r>
            <w:r>
              <w:rPr>
                <w:rFonts w:hint="eastAsia"/>
                <w:color w:val="auto"/>
                <w:highlight w:val="none"/>
              </w:rPr>
              <w:t>罩，并配备除尘设施。（3）冶炼厂及选矿厂内运输道路应硬化，并采取洒水、喷雾、移动吸尘等措施。（4）运输车辆驶离矿区前以及冶炼厂前应冲洗车轮，或采取其他控制措施”；冶炼工序采取的相关控制措施为“铜原生矿、铜精矿等原料，石英石、石灰石等辅料应采用库房贮存。备料工序产尘点应设置集气罩，并配备除尘设施”。</w:t>
            </w:r>
          </w:p>
          <w:p>
            <w:pPr>
              <w:pStyle w:val="32"/>
              <w:ind w:firstLine="480"/>
              <w:rPr>
                <w:color w:val="auto"/>
                <w:highlight w:val="none"/>
              </w:rPr>
            </w:pPr>
            <w:r>
              <w:rPr>
                <w:rFonts w:hint="eastAsia"/>
                <w:color w:val="auto"/>
                <w:szCs w:val="22"/>
                <w:highlight w:val="none"/>
              </w:rPr>
              <w:t>本项目</w:t>
            </w:r>
            <w:r>
              <w:rPr>
                <w:rFonts w:hint="eastAsia"/>
                <w:color w:val="auto"/>
                <w:szCs w:val="22"/>
                <w:highlight w:val="none"/>
                <w:lang w:val="en-US" w:eastAsia="zh-CN"/>
              </w:rPr>
              <w:t>主要采用封闭胶带</w:t>
            </w:r>
            <w:r>
              <w:rPr>
                <w:rFonts w:hint="eastAsia"/>
                <w:color w:val="auto"/>
                <w:szCs w:val="22"/>
                <w:highlight w:val="none"/>
              </w:rPr>
              <w:t>输送方式：</w:t>
            </w:r>
            <w:r>
              <w:rPr>
                <w:rFonts w:hint="eastAsia"/>
                <w:bCs/>
                <w:color w:val="auto"/>
                <w:szCs w:val="21"/>
                <w:highlight w:val="none"/>
              </w:rPr>
              <w:t>散货到港后，卸料至胶带输送机，</w:t>
            </w:r>
            <w:r>
              <w:rPr>
                <w:rFonts w:hint="eastAsia"/>
                <w:color w:val="auto"/>
                <w:highlight w:val="none"/>
              </w:rPr>
              <w:t>经皮带输送至本项目原料仓库内卸料；</w:t>
            </w:r>
            <w:r>
              <w:rPr>
                <w:rFonts w:hint="eastAsia"/>
                <w:color w:val="auto"/>
                <w:highlight w:val="none"/>
                <w:lang w:val="en-US" w:eastAsia="zh-CN"/>
              </w:rPr>
              <w:t>皮带检修过程，</w:t>
            </w:r>
            <w:r>
              <w:rPr>
                <w:rFonts w:hint="eastAsia"/>
                <w:bCs/>
                <w:color w:val="auto"/>
                <w:szCs w:val="21"/>
                <w:highlight w:val="none"/>
              </w:rPr>
              <w:t>集装箱</w:t>
            </w:r>
            <w:r>
              <w:rPr>
                <w:rFonts w:hint="eastAsia"/>
                <w:bCs/>
                <w:color w:val="auto"/>
                <w:szCs w:val="21"/>
                <w:highlight w:val="none"/>
                <w:lang w:val="en-US" w:eastAsia="zh-CN"/>
              </w:rPr>
              <w:t>和吨袋</w:t>
            </w:r>
            <w:r>
              <w:rPr>
                <w:rFonts w:hint="eastAsia"/>
                <w:bCs/>
                <w:color w:val="auto"/>
                <w:szCs w:val="21"/>
                <w:highlight w:val="none"/>
              </w:rPr>
              <w:t>到港后，</w:t>
            </w:r>
            <w:r>
              <w:rPr>
                <w:rFonts w:hint="eastAsia"/>
                <w:color w:val="auto"/>
                <w:szCs w:val="22"/>
                <w:highlight w:val="none"/>
              </w:rPr>
              <w:t>通过汽车转运至本项目</w:t>
            </w:r>
            <w:r>
              <w:rPr>
                <w:rFonts w:hint="eastAsia"/>
                <w:color w:val="auto"/>
                <w:szCs w:val="22"/>
                <w:highlight w:val="none"/>
                <w:lang w:eastAsia="zh-CN"/>
              </w:rPr>
              <w:t>封闭</w:t>
            </w:r>
            <w:r>
              <w:rPr>
                <w:rFonts w:hint="eastAsia"/>
                <w:color w:val="auto"/>
                <w:szCs w:val="22"/>
                <w:highlight w:val="none"/>
                <w:lang w:val="en-US" w:eastAsia="zh-CN"/>
              </w:rPr>
              <w:t>卸矿站</w:t>
            </w:r>
            <w:r>
              <w:rPr>
                <w:rFonts w:hint="eastAsia"/>
                <w:color w:val="auto"/>
                <w:szCs w:val="22"/>
                <w:highlight w:val="none"/>
              </w:rPr>
              <w:t>内进行卸料</w:t>
            </w:r>
            <w:r>
              <w:rPr>
                <w:rFonts w:hint="eastAsia"/>
                <w:color w:val="auto"/>
                <w:highlight w:val="none"/>
              </w:rPr>
              <w:t>，符合上述“采取皮带通廊、封闭式胶带输送机或流态化输送等输送方式”。</w:t>
            </w:r>
          </w:p>
          <w:p>
            <w:pPr>
              <w:pStyle w:val="32"/>
              <w:ind w:firstLine="480"/>
              <w:rPr>
                <w:rFonts w:hint="eastAsia"/>
                <w:color w:val="auto"/>
                <w:highlight w:val="none"/>
                <w:lang w:eastAsia="zh-CN"/>
              </w:rPr>
            </w:pPr>
            <w:r>
              <w:rPr>
                <w:rFonts w:hint="eastAsia"/>
                <w:color w:val="auto"/>
                <w:highlight w:val="none"/>
                <w:lang w:val="en-US" w:eastAsia="zh-CN"/>
              </w:rPr>
              <w:t>皮带检修过程，为了保证生产连续，采用汽车运输（备用），</w:t>
            </w:r>
            <w:r>
              <w:rPr>
                <w:rFonts w:hint="eastAsia"/>
                <w:color w:val="auto"/>
                <w:highlight w:val="none"/>
              </w:rPr>
              <w:t>原料（集装箱</w:t>
            </w:r>
            <w:r>
              <w:rPr>
                <w:rFonts w:hint="eastAsia"/>
                <w:bCs/>
                <w:color w:val="auto"/>
                <w:szCs w:val="21"/>
                <w:highlight w:val="none"/>
                <w:lang w:val="en-US" w:eastAsia="zh-CN"/>
              </w:rPr>
              <w:t>和吨袋</w:t>
            </w:r>
            <w:r>
              <w:rPr>
                <w:rFonts w:hint="eastAsia"/>
                <w:color w:val="auto"/>
                <w:highlight w:val="none"/>
              </w:rPr>
              <w:t>）的运入过程产生的道路扬尘采取限速、冲洗车辆、路面洒水、保护路面整洁等措施降低运输车辆行驶扬尘</w:t>
            </w:r>
            <w:r>
              <w:rPr>
                <w:rFonts w:hint="eastAsia"/>
                <w:color w:val="auto"/>
                <w:highlight w:val="none"/>
                <w:lang w:eastAsia="zh-CN"/>
              </w:rPr>
              <w:t>。</w:t>
            </w:r>
          </w:p>
          <w:p>
            <w:pPr>
              <w:pStyle w:val="32"/>
              <w:ind w:firstLine="480"/>
              <w:rPr>
                <w:rFonts w:hint="eastAsia"/>
                <w:color w:val="auto"/>
                <w:highlight w:val="none"/>
              </w:rPr>
            </w:pPr>
            <w:r>
              <w:rPr>
                <w:rFonts w:hint="eastAsia"/>
                <w:color w:val="auto"/>
                <w:highlight w:val="none"/>
                <w:lang w:val="en-US" w:eastAsia="zh-CN"/>
              </w:rPr>
              <w:t>卸矿站</w:t>
            </w:r>
            <w:r>
              <w:rPr>
                <w:rFonts w:hint="eastAsia"/>
                <w:color w:val="auto"/>
                <w:highlight w:val="none"/>
              </w:rPr>
              <w:t>除尘：</w:t>
            </w:r>
            <w:r>
              <w:rPr>
                <w:rFonts w:hint="eastAsia"/>
                <w:color w:val="auto"/>
                <w:highlight w:val="none"/>
                <w:lang w:val="en-US" w:eastAsia="zh-CN"/>
              </w:rPr>
              <w:t>散货入库卸矿、装矿时会产生扬尘，考虑全车间抑尘，设计4套智能高压喷雾抑尘装置，由喷雾主机、电控箱、增压泵、蓄水箱、雾化喷嘴、供水管道及管件和自动控制系统等组成，为Yc-4~7系统。精细雾化喷嘴均布在桁樑钢架上，沿库房屋桁樑均匀敷设，雾化覆盖范围大、抑尘效率高，适配装卸扬尘特点。主要设备就近布置在车间外地面。按卸矿位、装矿位、入库通道、堆存区划分4个独立区域，与作业区完全匹配，根据生产作业实际情况,通过控制器实现单区独立喷雾，只在作业点起尘时开启，既控尘又节水节电。4区覆盖全车间，无盲区、无重叠，屋顶下形成微雾笼罩区，粉尘不外逸，满足环保及现场职业卫生要求</w:t>
            </w:r>
            <w:r>
              <w:rPr>
                <w:rFonts w:hint="eastAsia"/>
                <w:color w:val="auto"/>
                <w:highlight w:val="none"/>
              </w:rPr>
              <w:t>。</w:t>
            </w:r>
          </w:p>
          <w:p>
            <w:pPr>
              <w:pStyle w:val="32"/>
              <w:ind w:firstLine="480"/>
              <w:rPr>
                <w:color w:val="auto"/>
                <w:highlight w:val="none"/>
              </w:rPr>
            </w:pPr>
            <w:r>
              <w:rPr>
                <w:rFonts w:hint="eastAsia"/>
                <w:color w:val="auto"/>
                <w:highlight w:val="none"/>
              </w:rPr>
              <w:t>在</w:t>
            </w:r>
            <w:r>
              <w:rPr>
                <w:rFonts w:hint="eastAsia"/>
                <w:color w:val="auto"/>
                <w:highlight w:val="none"/>
                <w:lang w:val="en-US" w:eastAsia="zh-CN"/>
              </w:rPr>
              <w:t>1#~3#、5#~6#胶带输送机卸料点</w:t>
            </w:r>
            <w:r>
              <w:rPr>
                <w:rFonts w:hint="eastAsia"/>
                <w:color w:val="auto"/>
                <w:highlight w:val="none"/>
              </w:rPr>
              <w:t>等产尘点设局部抽风，选用</w:t>
            </w:r>
            <w:r>
              <w:rPr>
                <w:rFonts w:hint="eastAsia"/>
                <w:color w:val="auto"/>
                <w:highlight w:val="none"/>
                <w:lang w:val="en-US" w:eastAsia="zh-CN"/>
              </w:rPr>
              <w:t>塑烧板除尘器</w:t>
            </w:r>
            <w:r>
              <w:rPr>
                <w:rFonts w:hint="eastAsia"/>
                <w:color w:val="auto"/>
                <w:highlight w:val="none"/>
              </w:rPr>
              <w:t>及离心风机，</w:t>
            </w:r>
            <w:r>
              <w:rPr>
                <w:rFonts w:hint="eastAsia"/>
                <w:color w:val="auto"/>
                <w:highlight w:val="none"/>
                <w:lang w:val="en-US" w:eastAsia="zh-CN"/>
              </w:rPr>
              <w:t>处理风量：48000m</w:t>
            </w:r>
            <w:r>
              <w:rPr>
                <w:rFonts w:hint="eastAsia"/>
                <w:color w:val="auto"/>
                <w:highlight w:val="none"/>
                <w:vertAlign w:val="superscript"/>
                <w:lang w:val="en-US" w:eastAsia="zh-CN"/>
              </w:rPr>
              <w:t>3</w:t>
            </w:r>
            <w:r>
              <w:rPr>
                <w:rFonts w:hint="eastAsia"/>
                <w:color w:val="auto"/>
                <w:highlight w:val="none"/>
                <w:lang w:val="en-US" w:eastAsia="zh-CN"/>
              </w:rPr>
              <w:t>/h，为Pc-3通风系统</w:t>
            </w:r>
            <w:r>
              <w:rPr>
                <w:rFonts w:hint="eastAsia"/>
                <w:color w:val="auto"/>
                <w:highlight w:val="none"/>
              </w:rPr>
              <w:t>。</w:t>
            </w:r>
            <w:r>
              <w:rPr>
                <w:rFonts w:hint="eastAsia"/>
                <w:color w:val="auto"/>
                <w:highlight w:val="none"/>
                <w:lang w:val="en-US" w:eastAsia="zh-CN"/>
              </w:rPr>
              <w:t>塑烧板</w:t>
            </w:r>
            <w:r>
              <w:rPr>
                <w:rFonts w:hint="eastAsia"/>
                <w:color w:val="auto"/>
                <w:highlight w:val="none"/>
              </w:rPr>
              <w:t>除尘器布置在</w:t>
            </w:r>
            <w:r>
              <w:rPr>
                <w:rFonts w:hint="eastAsia"/>
                <w:color w:val="auto"/>
                <w:highlight w:val="none"/>
                <w:lang w:val="en-US" w:eastAsia="zh-CN"/>
              </w:rPr>
              <w:t>卸矿站东侧室外</w:t>
            </w:r>
            <w:r>
              <w:rPr>
                <w:rFonts w:hint="eastAsia"/>
                <w:color w:val="auto"/>
                <w:highlight w:val="none"/>
              </w:rPr>
              <w:t>，收下的粉尘直接返回流程。</w:t>
            </w:r>
          </w:p>
          <w:p>
            <w:pPr>
              <w:pStyle w:val="32"/>
              <w:ind w:firstLine="480"/>
              <w:rPr>
                <w:rFonts w:hint="eastAsia"/>
                <w:color w:val="auto"/>
                <w:highlight w:val="none"/>
              </w:rPr>
            </w:pPr>
            <w:r>
              <w:rPr>
                <w:rFonts w:hint="eastAsia"/>
                <w:color w:val="auto"/>
                <w:highlight w:val="none"/>
              </w:rPr>
              <w:t>干法除尘效率高，其中滤筒除尘器与</w:t>
            </w:r>
            <w:r>
              <w:rPr>
                <w:rFonts w:hint="eastAsia"/>
                <w:color w:val="auto"/>
                <w:highlight w:val="none"/>
                <w:lang w:val="en-US" w:eastAsia="zh-CN"/>
              </w:rPr>
              <w:t>塑烧板除尘器</w:t>
            </w:r>
            <w:r>
              <w:rPr>
                <w:rFonts w:hint="eastAsia"/>
                <w:color w:val="auto"/>
                <w:highlight w:val="none"/>
              </w:rPr>
              <w:t>在矿石项目中均有使用。本工程除尘器选用</w:t>
            </w:r>
            <w:r>
              <w:rPr>
                <w:rFonts w:hint="eastAsia"/>
                <w:color w:val="auto"/>
                <w:highlight w:val="none"/>
                <w:lang w:val="en-US" w:eastAsia="zh-CN"/>
              </w:rPr>
              <w:t>塑烧板除尘器</w:t>
            </w:r>
            <w:r>
              <w:rPr>
                <w:rFonts w:hint="eastAsia"/>
                <w:color w:val="auto"/>
                <w:highlight w:val="none"/>
              </w:rPr>
              <w:t>，塑烧板除尘器是工业湿粘、高温、高腐蚀复杂工况专用的高效刚性过滤除尘设备，核心过滤核心部件为高分子烧结塑烧板滤芯，替代传统布袋除尘器的柔性滤袋，整体为刚性一体成型结构，无变形、无破损、无纤维脱落隐患。塑烧板以聚乙烯、特种工程塑料等高分子粉末为原料，经高温高压套模烧结工艺制成，内部形成三维贯通梯度孔隙结构，表层微孔孔径精细致密，内部孔道宽大通畅，孔隙率可达60%-70%，兼具良好透气透气性和超细粉尘拦截能力，且表面经过特殊疏水疏油改性处理，防潮、防粘、耐腐蚀、耐磨损，适配常规布袋除尘器无法稳定运行的恶劣工业粉尘治理场景。</w:t>
            </w:r>
          </w:p>
          <w:p>
            <w:pPr>
              <w:pStyle w:val="32"/>
              <w:ind w:firstLine="480"/>
              <w:rPr>
                <w:color w:val="auto"/>
                <w:highlight w:val="none"/>
              </w:rPr>
            </w:pPr>
            <w:r>
              <w:rPr>
                <w:rFonts w:hint="eastAsia"/>
                <w:color w:val="auto"/>
                <w:highlight w:val="none"/>
              </w:rPr>
              <w:t>其优点主要体现在以下几个方面：</w:t>
            </w:r>
          </w:p>
          <w:p>
            <w:pPr>
              <w:pStyle w:val="32"/>
              <w:ind w:firstLine="480"/>
              <w:rPr>
                <w:rFonts w:hint="eastAsia" w:eastAsia="宋体"/>
                <w:color w:val="auto"/>
                <w:highlight w:val="none"/>
                <w:lang w:eastAsia="zh-CN"/>
              </w:rPr>
            </w:pPr>
            <w:r>
              <w:rPr>
                <w:rFonts w:hint="eastAsia"/>
                <w:color w:val="auto"/>
                <w:highlight w:val="none"/>
                <w:lang w:val="en-US" w:eastAsia="zh-CN"/>
              </w:rPr>
              <w:t>1.</w:t>
            </w:r>
            <w:r>
              <w:rPr>
                <w:rFonts w:hint="eastAsia"/>
                <w:color w:val="auto"/>
                <w:highlight w:val="none"/>
              </w:rPr>
              <w:t>塑烧板除尘器整体依托进气导流预分离→刚性滤板复合过滤→脉冲高压反向清灰→灰斗锁风卸灰四大闭环连续工作流程运行，全程负压作业，自动化启停调控，无需人工干预，运行工况稳定</w:t>
            </w:r>
            <w:r>
              <w:rPr>
                <w:rFonts w:hint="eastAsia"/>
                <w:color w:val="auto"/>
                <w:highlight w:val="none"/>
                <w:lang w:eastAsia="zh-CN"/>
              </w:rPr>
              <w:t>。</w:t>
            </w:r>
          </w:p>
          <w:p>
            <w:pPr>
              <w:pStyle w:val="32"/>
              <w:ind w:firstLine="480"/>
              <w:rPr>
                <w:rFonts w:hint="eastAsia"/>
                <w:color w:val="auto"/>
                <w:highlight w:val="none"/>
              </w:rPr>
            </w:pPr>
            <w:r>
              <w:rPr>
                <w:rFonts w:hint="eastAsia"/>
                <w:color w:val="auto"/>
                <w:highlight w:val="none"/>
                <w:lang w:val="en-US" w:eastAsia="zh-CN"/>
              </w:rPr>
              <w:t>2.塑烧板除尘器属于工业高精度高效除尘设备，除尘效率远优于常规旋风除尘器、普通布袋除尘器，且除尘效率长期稳定不衰减，不受潮湿、粘性粉尘工况影响，颗粒物排放浓度可稳定满足国家及地方超低排放标准</w:t>
            </w:r>
            <w:r>
              <w:rPr>
                <w:rFonts w:hint="eastAsia"/>
                <w:color w:val="auto"/>
                <w:highlight w:val="none"/>
              </w:rPr>
              <w:t>。</w:t>
            </w:r>
          </w:p>
          <w:p>
            <w:pPr>
              <w:pStyle w:val="32"/>
              <w:ind w:firstLine="480"/>
              <w:rPr>
                <w:rFonts w:hint="eastAsia"/>
                <w:color w:val="auto"/>
                <w:highlight w:val="none"/>
                <w:lang w:val="en-US" w:eastAsia="zh-CN"/>
              </w:rPr>
            </w:pPr>
            <w:r>
              <w:rPr>
                <w:rFonts w:hint="eastAsia"/>
                <w:color w:val="auto"/>
                <w:highlight w:val="none"/>
                <w:lang w:val="en-US" w:eastAsia="zh-CN"/>
              </w:rPr>
              <w:t>3.设备正常额定工况运行、脉冲清灰系统定期正常投用前提下，塑烧板除尘器综合除尘总效率稳定≥99.9%，设备出口废气颗粒物排放浓度可轻松控制在10mg/m³以下；针对10μm以上大颗粒粉尘：除尘效率接近100%，基本可实现完全拦截捕集，预分离阶段即可完成大部分大颗粒粉尘沉降，过滤阶段无逃逸情况；针对1-10μm常规工业细粉尘：除尘效率稳定保持99.9%以上，拦截效果优异，是工业常规细颗粒物治理核心优势区间；针对0.1-1μm超细粉尘（微细悬浮粉尘）：除尘效率仍可达99.5%以上，本报告除尘效率以不利条件，取99.5%。</w:t>
            </w:r>
          </w:p>
          <w:p>
            <w:pPr>
              <w:pStyle w:val="32"/>
              <w:ind w:firstLine="480"/>
              <w:rPr>
                <w:rFonts w:hint="default"/>
                <w:color w:val="auto"/>
                <w:highlight w:val="none"/>
                <w:lang w:val="en-US" w:eastAsia="zh-CN"/>
              </w:rPr>
            </w:pPr>
            <w:r>
              <w:rPr>
                <w:rFonts w:hint="eastAsia"/>
                <w:color w:val="auto"/>
                <w:highlight w:val="none"/>
                <w:lang w:val="en-US" w:eastAsia="zh-CN"/>
              </w:rPr>
              <w:t>4.</w:t>
            </w:r>
            <w:r>
              <w:rPr>
                <w:rFonts w:hint="default"/>
                <w:color w:val="auto"/>
                <w:highlight w:val="none"/>
                <w:lang w:val="en-US" w:eastAsia="zh-CN"/>
              </w:rPr>
              <w:t>相较于布袋除尘器遇潮湿、粘性、含油粉尘易糊袋、除尘效率骤降的短板，塑烧板疏水疏油、不粘尘、耐腐蚀特性，使其在高湿、高温、粘性、腐蚀性粉尘恶劣工况下，除尘效率仍可稳定维持在99.8%以上，不会出现滤材堵塞、过滤失效问题，设备运行稳定性和除尘持久性优势突出，无需频繁更换过滤元件，运维成本更低。</w:t>
            </w:r>
          </w:p>
          <w:p>
            <w:pPr>
              <w:pStyle w:val="32"/>
              <w:ind w:firstLine="480"/>
              <w:rPr>
                <w:color w:val="auto"/>
                <w:highlight w:val="none"/>
              </w:rPr>
            </w:pPr>
            <w:r>
              <w:rPr>
                <w:rFonts w:hint="eastAsia"/>
                <w:color w:val="auto"/>
                <w:highlight w:val="none"/>
              </w:rPr>
              <w:t>单流体喷雾系统特别适用于开放或半开放性环境（如车间屋顶），能有效应对含尘气流，其通过高压将水雾化为微米级颗粒，利用高动量水雾压制粉尘扩散并与颗粒结合沉降。鉴于当地潮湿环境，塑烧板除尘器在排放可靠性、运维便利性和长期成本控制上的显著优势，结合同类工程实践经验，本工程推荐采用除尘+抑尘相结合的除尘方式。</w:t>
            </w:r>
          </w:p>
          <w:p>
            <w:pPr>
              <w:pStyle w:val="32"/>
              <w:ind w:firstLine="480"/>
              <w:rPr>
                <w:color w:val="auto"/>
                <w:highlight w:val="none"/>
              </w:rPr>
            </w:pPr>
            <w:r>
              <w:rPr>
                <w:rFonts w:hint="eastAsia"/>
                <w:color w:val="auto"/>
                <w:highlight w:val="none"/>
                <w:lang w:val="en-US" w:eastAsia="zh-CN"/>
              </w:rPr>
              <w:t>混矿</w:t>
            </w:r>
            <w:r>
              <w:rPr>
                <w:rFonts w:hint="eastAsia"/>
                <w:color w:val="auto"/>
                <w:highlight w:val="none"/>
              </w:rPr>
              <w:t>库除尘：与</w:t>
            </w:r>
            <w:r>
              <w:rPr>
                <w:rFonts w:hint="eastAsia"/>
                <w:color w:val="auto"/>
                <w:highlight w:val="none"/>
                <w:lang w:val="en-US" w:eastAsia="zh-CN"/>
              </w:rPr>
              <w:t>卸矿站</w:t>
            </w:r>
            <w:r>
              <w:rPr>
                <w:rFonts w:hint="eastAsia"/>
                <w:color w:val="auto"/>
                <w:highlight w:val="none"/>
              </w:rPr>
              <w:t>除尘方式一致，设</w:t>
            </w:r>
            <w:r>
              <w:rPr>
                <w:rFonts w:hint="eastAsia"/>
                <w:color w:val="auto"/>
                <w:highlight w:val="none"/>
                <w:lang w:val="en-US" w:eastAsia="zh-CN"/>
              </w:rPr>
              <w:t>3</w:t>
            </w:r>
            <w:r>
              <w:rPr>
                <w:rFonts w:hint="eastAsia"/>
                <w:color w:val="auto"/>
                <w:highlight w:val="none"/>
              </w:rPr>
              <w:t>套智能高压喷雾抑尘装置。</w:t>
            </w:r>
          </w:p>
          <w:p>
            <w:pPr>
              <w:pStyle w:val="32"/>
              <w:ind w:firstLine="480"/>
              <w:rPr>
                <w:color w:val="auto"/>
                <w:highlight w:val="none"/>
              </w:rPr>
            </w:pPr>
            <w:r>
              <w:rPr>
                <w:rFonts w:hint="eastAsia"/>
                <w:color w:val="auto"/>
                <w:highlight w:val="none"/>
              </w:rPr>
              <w:t>制样室的研磨机、标准筛在制样时可能不定期产生微量粉尘，设局部排风罩，选用滤筒净化一体机，平时根据情况开启。收下粉尘定期人工回收利用。</w:t>
            </w:r>
          </w:p>
          <w:p>
            <w:pPr>
              <w:pStyle w:val="32"/>
              <w:ind w:firstLine="480"/>
              <w:rPr>
                <w:color w:val="auto"/>
                <w:highlight w:val="none"/>
              </w:rPr>
            </w:pPr>
            <w:r>
              <w:rPr>
                <w:rFonts w:hint="eastAsia"/>
                <w:color w:val="auto"/>
                <w:highlight w:val="none"/>
              </w:rPr>
              <w:t>车载通道、装载机通道可能积尘的区域设一套智能洁净清扫系统，风量自动变频调节。管路系统配置12个清扫接口（同时使用5个），采用垂直插口，即用即插。在每个接口区预留自动卷管器，根据清扫范围设定软管的最大展开长度（10</w:t>
            </w:r>
            <w:r>
              <w:rPr>
                <w:rFonts w:hint="eastAsia"/>
                <w:color w:val="auto"/>
                <w:highlight w:val="none"/>
              </w:rPr>
              <w:noBreakHyphen/>
            </w:r>
            <w:r>
              <w:rPr>
                <w:rFonts w:hint="eastAsia"/>
                <w:color w:val="auto"/>
                <w:highlight w:val="none"/>
              </w:rPr>
              <w:t>20 m）。</w:t>
            </w:r>
          </w:p>
          <w:p>
            <w:pPr>
              <w:pStyle w:val="32"/>
              <w:ind w:firstLine="480"/>
              <w:rPr>
                <w:color w:val="auto"/>
                <w:highlight w:val="none"/>
              </w:rPr>
            </w:pPr>
            <w:r>
              <w:rPr>
                <w:rFonts w:hint="eastAsia"/>
                <w:color w:val="auto"/>
                <w:highlight w:val="none"/>
              </w:rPr>
              <w:t>综上所述，对于堆场扬尘，将原料及成品堆场设置在封闭车间内，车间配置洒水抑尘装置，对原料及产品装卸扬尘、运输扬尘进行洒水降尘，定期对原料及产品堆场加湿处理，使矿粉含水率控制在8~</w:t>
            </w:r>
            <w:r>
              <w:rPr>
                <w:rFonts w:hint="eastAsia"/>
                <w:color w:val="auto"/>
                <w:highlight w:val="none"/>
                <w:lang w:val="en-US" w:eastAsia="zh-CN"/>
              </w:rPr>
              <w:t>10</w:t>
            </w:r>
            <w:r>
              <w:rPr>
                <w:rFonts w:hint="eastAsia"/>
                <w:color w:val="auto"/>
                <w:highlight w:val="none"/>
              </w:rPr>
              <w:t>%，并加强装卸管理，大大降低堆场扬尘产生量和外排量，综合除尘率达9</w:t>
            </w:r>
            <w:r>
              <w:rPr>
                <w:rFonts w:hint="eastAsia"/>
                <w:color w:val="auto"/>
                <w:highlight w:val="none"/>
                <w:lang w:val="en-US" w:eastAsia="zh-CN"/>
              </w:rPr>
              <w:t>9.74</w:t>
            </w:r>
            <w:r>
              <w:rPr>
                <w:rFonts w:hint="eastAsia"/>
                <w:color w:val="auto"/>
                <w:highlight w:val="none"/>
              </w:rPr>
              <w:t>%。</w:t>
            </w:r>
          </w:p>
          <w:p>
            <w:pPr>
              <w:pStyle w:val="32"/>
              <w:ind w:firstLine="480"/>
              <w:rPr>
                <w:color w:val="auto"/>
                <w:highlight w:val="none"/>
              </w:rPr>
            </w:pPr>
            <w:r>
              <w:rPr>
                <w:rFonts w:hint="eastAsia"/>
                <w:color w:val="auto"/>
                <w:highlight w:val="none"/>
                <w:lang w:val="en-US" w:eastAsia="zh-CN"/>
              </w:rPr>
              <w:t>各个</w:t>
            </w:r>
            <w:r>
              <w:rPr>
                <w:rFonts w:hint="eastAsia"/>
                <w:color w:val="auto"/>
                <w:highlight w:val="none"/>
              </w:rPr>
              <w:t>胶带输送机卸料、圆筒混料机</w:t>
            </w:r>
            <w:r>
              <w:rPr>
                <w:rFonts w:hint="eastAsia"/>
                <w:color w:val="auto"/>
                <w:highlight w:val="none"/>
                <w:lang w:val="en-US" w:eastAsia="zh-CN"/>
              </w:rPr>
              <w:t>上料、落料等</w:t>
            </w:r>
            <w:r>
              <w:rPr>
                <w:rFonts w:hint="eastAsia"/>
                <w:color w:val="auto"/>
                <w:highlight w:val="none"/>
              </w:rPr>
              <w:t>产生的粉尘，通过负压集气，收集后进入</w:t>
            </w:r>
            <w:r>
              <w:rPr>
                <w:rFonts w:hint="eastAsia"/>
                <w:color w:val="auto"/>
                <w:highlight w:val="none"/>
                <w:lang w:val="en-US" w:eastAsia="zh-CN"/>
              </w:rPr>
              <w:t>塑烧板除尘器</w:t>
            </w:r>
            <w:r>
              <w:rPr>
                <w:rFonts w:hint="eastAsia"/>
                <w:color w:val="auto"/>
                <w:highlight w:val="none"/>
              </w:rPr>
              <w:t>处理后通过15m高排气筒排放，</w:t>
            </w:r>
            <w:r>
              <w:rPr>
                <w:rFonts w:hint="eastAsia"/>
                <w:color w:val="auto"/>
                <w:highlight w:val="none"/>
                <w:lang w:val="en-US" w:eastAsia="zh-CN"/>
              </w:rPr>
              <w:t>塑烧板除尘器</w:t>
            </w:r>
            <w:r>
              <w:rPr>
                <w:rFonts w:hint="eastAsia"/>
                <w:color w:val="auto"/>
                <w:highlight w:val="none"/>
              </w:rPr>
              <w:t>除尘效率达99</w:t>
            </w:r>
            <w:r>
              <w:rPr>
                <w:rFonts w:hint="eastAsia"/>
                <w:color w:val="auto"/>
                <w:highlight w:val="none"/>
                <w:lang w:val="en-US" w:eastAsia="zh-CN"/>
              </w:rPr>
              <w:t>.5</w:t>
            </w:r>
            <w:r>
              <w:rPr>
                <w:rFonts w:hint="eastAsia"/>
                <w:color w:val="auto"/>
                <w:highlight w:val="none"/>
              </w:rPr>
              <w:t>%，集气罩未收集到的粉尘经车间内喷雾洒水装置降尘后基本沉降在</w:t>
            </w:r>
            <w:r>
              <w:rPr>
                <w:rFonts w:hint="eastAsia"/>
                <w:color w:val="auto"/>
                <w:highlight w:val="none"/>
                <w:lang w:eastAsia="zh-CN"/>
              </w:rPr>
              <w:t>封闭</w:t>
            </w:r>
            <w:r>
              <w:rPr>
                <w:rFonts w:hint="eastAsia"/>
                <w:color w:val="auto"/>
                <w:highlight w:val="none"/>
              </w:rPr>
              <w:t>生产车间内。成品通过皮带输送到铜冶炼基地。上述处理符合《排污许可证申请与核发技术规范有色金属工业-铜冶炼》（HJ863.3-2017）中推荐的除尘设施治理工艺要求。</w:t>
            </w:r>
          </w:p>
          <w:p>
            <w:pPr>
              <w:pStyle w:val="32"/>
              <w:ind w:firstLine="480"/>
              <w:rPr>
                <w:color w:val="auto"/>
                <w:highlight w:val="none"/>
              </w:rPr>
            </w:pPr>
            <w:r>
              <w:rPr>
                <w:rFonts w:hint="eastAsia"/>
                <w:color w:val="auto"/>
                <w:highlight w:val="none"/>
              </w:rPr>
              <w:t>项目采取的污染防治措施技术可行，可以实现污染物的稳定达标排放，且项目距离敏感目标较远，非正常工况下，通过立即停产，加强管理等措施，可减小对周围环境影响。总体上说，项目实施后对周围环境影响较小。综上所述，本项目废气污染治理措施可行。</w:t>
            </w:r>
          </w:p>
          <w:p>
            <w:pPr>
              <w:pStyle w:val="42"/>
              <w:rPr>
                <w:color w:val="auto"/>
                <w:highlight w:val="none"/>
              </w:rPr>
            </w:pPr>
            <w:r>
              <w:rPr>
                <w:rFonts w:hint="eastAsia"/>
                <w:color w:val="auto"/>
                <w:highlight w:val="none"/>
              </w:rPr>
              <w:t>4.2.1.4 监测计划</w:t>
            </w:r>
          </w:p>
          <w:p>
            <w:pPr>
              <w:pStyle w:val="32"/>
              <w:ind w:firstLine="480"/>
              <w:rPr>
                <w:color w:val="auto"/>
                <w:highlight w:val="none"/>
              </w:rPr>
            </w:pPr>
            <w:r>
              <w:rPr>
                <w:rFonts w:hint="eastAsia"/>
                <w:color w:val="auto"/>
                <w:highlight w:val="none"/>
              </w:rPr>
              <w:t>根据《排污许可证申请与核发技术规范  总则》(HJ942-2018)、《排污单位自行监测技术指南  总则》(HJ819-2017)中的要求，本项目废气监测计划见表4.2.</w:t>
            </w:r>
            <w:r>
              <w:rPr>
                <w:rFonts w:hint="eastAsia"/>
                <w:color w:val="auto"/>
                <w:highlight w:val="none"/>
                <w:lang w:val="en-US" w:eastAsia="zh-CN"/>
              </w:rPr>
              <w:t>13</w:t>
            </w:r>
            <w:r>
              <w:rPr>
                <w:rFonts w:hint="eastAsia"/>
                <w:color w:val="auto"/>
                <w:highlight w:val="none"/>
              </w:rPr>
              <w:t>。</w:t>
            </w:r>
          </w:p>
          <w:p>
            <w:pPr>
              <w:pStyle w:val="33"/>
              <w:rPr>
                <w:rFonts w:eastAsia="宋体"/>
                <w:color w:val="auto"/>
                <w:highlight w:val="none"/>
              </w:rPr>
            </w:pPr>
            <w:r>
              <w:rPr>
                <w:rFonts w:eastAsia="宋体"/>
                <w:color w:val="auto"/>
                <w:highlight w:val="none"/>
              </w:rPr>
              <w:t>表</w:t>
            </w:r>
            <w:r>
              <w:rPr>
                <w:rFonts w:hint="eastAsia" w:eastAsia="宋体"/>
                <w:color w:val="auto"/>
                <w:highlight w:val="none"/>
              </w:rPr>
              <w:t>4.2.</w:t>
            </w:r>
            <w:r>
              <w:rPr>
                <w:rFonts w:hint="eastAsia" w:eastAsia="宋体"/>
                <w:color w:val="auto"/>
                <w:highlight w:val="none"/>
                <w:lang w:val="en-US" w:eastAsia="zh-CN"/>
              </w:rPr>
              <w:t>13</w:t>
            </w:r>
            <w:r>
              <w:rPr>
                <w:rFonts w:hint="eastAsia" w:eastAsia="宋体"/>
                <w:color w:val="auto"/>
                <w:highlight w:val="none"/>
              </w:rPr>
              <w:t xml:space="preserve">  本</w:t>
            </w:r>
            <w:r>
              <w:rPr>
                <w:rFonts w:eastAsia="宋体"/>
                <w:color w:val="auto"/>
                <w:highlight w:val="none"/>
              </w:rPr>
              <w:t>项目废气</w:t>
            </w:r>
            <w:r>
              <w:rPr>
                <w:rFonts w:hint="eastAsia" w:eastAsia="宋体"/>
                <w:color w:val="auto"/>
                <w:highlight w:val="none"/>
              </w:rPr>
              <w:t>监测计划</w:t>
            </w:r>
            <w:r>
              <w:rPr>
                <w:rFonts w:eastAsia="宋体"/>
                <w:color w:val="auto"/>
                <w:highlight w:val="none"/>
              </w:rPr>
              <w:t>一览表</w:t>
            </w:r>
          </w:p>
          <w:tbl>
            <w:tblPr>
              <w:tblStyle w:val="38"/>
              <w:tblW w:w="497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44"/>
              <w:gridCol w:w="1131"/>
              <w:gridCol w:w="1767"/>
              <w:gridCol w:w="1399"/>
              <w:gridCol w:w="1647"/>
              <w:gridCol w:w="10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955" w:type="pct"/>
                  <w:vAlign w:val="center"/>
                </w:tcPr>
                <w:p>
                  <w:pPr>
                    <w:pStyle w:val="39"/>
                    <w:spacing w:line="300" w:lineRule="exact"/>
                    <w:rPr>
                      <w:color w:val="auto"/>
                      <w:highlight w:val="none"/>
                    </w:rPr>
                  </w:pPr>
                  <w:r>
                    <w:rPr>
                      <w:color w:val="auto"/>
                      <w:highlight w:val="none"/>
                    </w:rPr>
                    <w:t>污染源</w:t>
                  </w:r>
                </w:p>
              </w:tc>
              <w:tc>
                <w:tcPr>
                  <w:tcW w:w="657" w:type="pct"/>
                  <w:vAlign w:val="center"/>
                </w:tcPr>
                <w:p>
                  <w:pPr>
                    <w:pStyle w:val="39"/>
                    <w:spacing w:line="300" w:lineRule="exact"/>
                    <w:rPr>
                      <w:color w:val="auto"/>
                      <w:highlight w:val="none"/>
                    </w:rPr>
                  </w:pPr>
                  <w:r>
                    <w:rPr>
                      <w:rFonts w:hint="eastAsia"/>
                      <w:color w:val="auto"/>
                      <w:highlight w:val="none"/>
                    </w:rPr>
                    <w:t>监测指标</w:t>
                  </w:r>
                </w:p>
              </w:tc>
              <w:tc>
                <w:tcPr>
                  <w:tcW w:w="1027" w:type="pct"/>
                  <w:vAlign w:val="center"/>
                </w:tcPr>
                <w:p>
                  <w:pPr>
                    <w:pStyle w:val="39"/>
                    <w:spacing w:line="300" w:lineRule="exact"/>
                    <w:jc w:val="center"/>
                    <w:rPr>
                      <w:color w:val="auto"/>
                      <w:highlight w:val="none"/>
                    </w:rPr>
                  </w:pPr>
                  <w:r>
                    <w:rPr>
                      <w:rFonts w:hint="eastAsia"/>
                      <w:color w:val="auto"/>
                      <w:highlight w:val="none"/>
                    </w:rPr>
                    <w:t>环境保护措施</w:t>
                  </w:r>
                </w:p>
              </w:tc>
              <w:tc>
                <w:tcPr>
                  <w:tcW w:w="813" w:type="pct"/>
                  <w:vAlign w:val="center"/>
                </w:tcPr>
                <w:p>
                  <w:pPr>
                    <w:pStyle w:val="39"/>
                    <w:spacing w:line="300" w:lineRule="exact"/>
                    <w:rPr>
                      <w:color w:val="auto"/>
                      <w:highlight w:val="none"/>
                    </w:rPr>
                  </w:pPr>
                  <w:r>
                    <w:rPr>
                      <w:rFonts w:hint="eastAsia"/>
                      <w:color w:val="auto"/>
                      <w:highlight w:val="none"/>
                    </w:rPr>
                    <w:t>监测点位</w:t>
                  </w:r>
                </w:p>
              </w:tc>
              <w:tc>
                <w:tcPr>
                  <w:tcW w:w="957" w:type="pct"/>
                  <w:vAlign w:val="center"/>
                </w:tcPr>
                <w:p>
                  <w:pPr>
                    <w:pStyle w:val="39"/>
                    <w:spacing w:line="300" w:lineRule="exact"/>
                    <w:rPr>
                      <w:color w:val="auto"/>
                      <w:highlight w:val="none"/>
                    </w:rPr>
                  </w:pPr>
                  <w:r>
                    <w:rPr>
                      <w:rFonts w:hint="eastAsia"/>
                      <w:color w:val="auto"/>
                      <w:highlight w:val="none"/>
                    </w:rPr>
                    <w:t>执行标准</w:t>
                  </w:r>
                </w:p>
              </w:tc>
              <w:tc>
                <w:tcPr>
                  <w:tcW w:w="588" w:type="pct"/>
                  <w:vAlign w:val="center"/>
                </w:tcPr>
                <w:p>
                  <w:pPr>
                    <w:pStyle w:val="39"/>
                    <w:spacing w:line="300" w:lineRule="exact"/>
                    <w:rPr>
                      <w:color w:val="auto"/>
                      <w:highlight w:val="none"/>
                    </w:rPr>
                  </w:pPr>
                  <w:r>
                    <w:rPr>
                      <w:rFonts w:hint="eastAsia"/>
                      <w:color w:val="auto"/>
                      <w:highlight w:val="none"/>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955" w:type="pct"/>
                  <w:vAlign w:val="center"/>
                </w:tcPr>
                <w:p>
                  <w:pPr>
                    <w:widowControl/>
                    <w:jc w:val="center"/>
                    <w:textAlignment w:val="center"/>
                    <w:rPr>
                      <w:color w:val="auto"/>
                      <w:highlight w:val="none"/>
                    </w:rPr>
                  </w:pPr>
                  <w:r>
                    <w:rPr>
                      <w:rFonts w:hint="eastAsia"/>
                      <w:color w:val="auto"/>
                      <w:kern w:val="0"/>
                      <w:szCs w:val="21"/>
                      <w:highlight w:val="none"/>
                      <w:lang w:val="en-US" w:eastAsia="zh-CN" w:bidi="ar"/>
                    </w:rPr>
                    <w:t>M-9#</w:t>
                  </w:r>
                  <w:r>
                    <w:rPr>
                      <w:rFonts w:hint="eastAsia"/>
                      <w:color w:val="auto"/>
                      <w:kern w:val="0"/>
                      <w:szCs w:val="21"/>
                      <w:highlight w:val="none"/>
                      <w:lang w:bidi="ar"/>
                    </w:rPr>
                    <w:t>转运站</w:t>
                  </w:r>
                </w:p>
              </w:tc>
              <w:tc>
                <w:tcPr>
                  <w:tcW w:w="657" w:type="pct"/>
                  <w:vMerge w:val="restart"/>
                  <w:vAlign w:val="center"/>
                </w:tcPr>
                <w:p>
                  <w:pPr>
                    <w:pStyle w:val="39"/>
                    <w:spacing w:line="300" w:lineRule="exact"/>
                    <w:rPr>
                      <w:color w:val="auto"/>
                      <w:highlight w:val="none"/>
                    </w:rPr>
                  </w:pPr>
                  <w:r>
                    <w:rPr>
                      <w:color w:val="auto"/>
                      <w:highlight w:val="none"/>
                    </w:rPr>
                    <w:t>颗粒物</w:t>
                  </w:r>
                </w:p>
              </w:tc>
              <w:tc>
                <w:tcPr>
                  <w:tcW w:w="1027" w:type="pct"/>
                  <w:vAlign w:val="center"/>
                </w:tcPr>
                <w:p>
                  <w:pPr>
                    <w:pStyle w:val="39"/>
                    <w:spacing w:line="300" w:lineRule="exact"/>
                    <w:jc w:val="center"/>
                    <w:rPr>
                      <w:color w:val="auto"/>
                      <w:highlight w:val="none"/>
                    </w:rPr>
                  </w:pPr>
                  <w:r>
                    <w:rPr>
                      <w:rFonts w:hint="eastAsia"/>
                      <w:color w:val="auto"/>
                      <w:kern w:val="0"/>
                      <w:highlight w:val="none"/>
                      <w:lang w:bidi="ar"/>
                    </w:rPr>
                    <w:t>滤筒除尘</w:t>
                  </w:r>
                  <w:r>
                    <w:rPr>
                      <w:color w:val="auto"/>
                      <w:kern w:val="0"/>
                      <w:highlight w:val="none"/>
                      <w:lang w:bidi="ar"/>
                    </w:rPr>
                    <w:t>处理+15m高排气筒排放</w:t>
                  </w:r>
                </w:p>
              </w:tc>
              <w:tc>
                <w:tcPr>
                  <w:tcW w:w="813" w:type="pct"/>
                  <w:vAlign w:val="center"/>
                </w:tcPr>
                <w:p>
                  <w:pPr>
                    <w:pStyle w:val="39"/>
                    <w:spacing w:line="300" w:lineRule="exact"/>
                    <w:rPr>
                      <w:color w:val="auto"/>
                      <w:highlight w:val="none"/>
                    </w:rPr>
                  </w:pPr>
                  <w:r>
                    <w:rPr>
                      <w:rFonts w:hint="eastAsia"/>
                      <w:color w:val="auto"/>
                      <w:highlight w:val="none"/>
                    </w:rPr>
                    <w:t>DA001</w:t>
                  </w:r>
                </w:p>
              </w:tc>
              <w:tc>
                <w:tcPr>
                  <w:tcW w:w="957" w:type="pct"/>
                  <w:vMerge w:val="restart"/>
                  <w:vAlign w:val="center"/>
                </w:tcPr>
                <w:p>
                  <w:pPr>
                    <w:pStyle w:val="39"/>
                    <w:spacing w:line="300" w:lineRule="exact"/>
                    <w:rPr>
                      <w:color w:val="auto"/>
                      <w:highlight w:val="none"/>
                    </w:rPr>
                  </w:pPr>
                  <w:r>
                    <w:rPr>
                      <w:rFonts w:hint="eastAsia"/>
                      <w:color w:val="auto"/>
                      <w:highlight w:val="none"/>
                    </w:rPr>
                    <w:t>《大气污染物综合排放标准》(GB16297-1996)表2新污染源大气污染物有组织最高允许排放浓度限值、无组织排放监控浓度限值</w:t>
                  </w:r>
                </w:p>
              </w:tc>
              <w:tc>
                <w:tcPr>
                  <w:tcW w:w="588" w:type="pct"/>
                  <w:vAlign w:val="center"/>
                </w:tcPr>
                <w:p>
                  <w:pPr>
                    <w:pStyle w:val="39"/>
                    <w:spacing w:line="300" w:lineRule="exact"/>
                    <w:rPr>
                      <w:color w:val="auto"/>
                      <w:highlight w:val="none"/>
                    </w:rPr>
                  </w:pPr>
                  <w:r>
                    <w:rPr>
                      <w:rFonts w:hint="eastAsia"/>
                      <w:color w:val="auto"/>
                      <w:highlight w:val="none"/>
                    </w:rPr>
                    <w:t>每年一次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955" w:type="pct"/>
                  <w:vAlign w:val="center"/>
                </w:tcPr>
                <w:p>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卸矿站1#~3#、5#~6#胶带输送机</w:t>
                  </w:r>
                </w:p>
              </w:tc>
              <w:tc>
                <w:tcPr>
                  <w:tcW w:w="657" w:type="pct"/>
                  <w:vMerge w:val="continue"/>
                  <w:vAlign w:val="center"/>
                </w:tcPr>
                <w:p>
                  <w:pPr>
                    <w:pStyle w:val="39"/>
                    <w:spacing w:line="300" w:lineRule="exact"/>
                    <w:rPr>
                      <w:color w:val="auto"/>
                      <w:highlight w:val="none"/>
                    </w:rPr>
                  </w:pPr>
                </w:p>
              </w:tc>
              <w:tc>
                <w:tcPr>
                  <w:tcW w:w="1027" w:type="pct"/>
                  <w:vAlign w:val="center"/>
                </w:tcPr>
                <w:p>
                  <w:pPr>
                    <w:pStyle w:val="39"/>
                    <w:spacing w:line="300" w:lineRule="exact"/>
                    <w:jc w:val="center"/>
                    <w:rPr>
                      <w:rFonts w:hint="eastAsia"/>
                      <w:color w:val="auto"/>
                      <w:kern w:val="0"/>
                      <w:highlight w:val="none"/>
                      <w:lang w:val="en-US" w:eastAsia="zh-CN" w:bidi="ar"/>
                    </w:rPr>
                  </w:pPr>
                  <w:r>
                    <w:rPr>
                      <w:rFonts w:hint="eastAsia"/>
                      <w:color w:val="auto"/>
                      <w:kern w:val="0"/>
                      <w:highlight w:val="none"/>
                      <w:lang w:val="en-US" w:eastAsia="zh-CN" w:bidi="ar"/>
                    </w:rPr>
                    <w:t>塑烧板除尘器</w:t>
                  </w:r>
                  <w:r>
                    <w:rPr>
                      <w:color w:val="auto"/>
                      <w:kern w:val="0"/>
                      <w:highlight w:val="none"/>
                      <w:lang w:bidi="ar"/>
                    </w:rPr>
                    <w:t>+15m高排气筒排放</w:t>
                  </w:r>
                </w:p>
              </w:tc>
              <w:tc>
                <w:tcPr>
                  <w:tcW w:w="813" w:type="pct"/>
                  <w:vAlign w:val="center"/>
                </w:tcPr>
                <w:p>
                  <w:pPr>
                    <w:pStyle w:val="39"/>
                    <w:spacing w:line="300" w:lineRule="exact"/>
                    <w:rPr>
                      <w:rFonts w:hint="eastAsia"/>
                      <w:color w:val="auto"/>
                      <w:highlight w:val="none"/>
                    </w:rPr>
                  </w:pPr>
                  <w:r>
                    <w:rPr>
                      <w:rFonts w:hint="eastAsia"/>
                      <w:color w:val="auto"/>
                      <w:highlight w:val="none"/>
                    </w:rPr>
                    <w:t>DA00</w:t>
                  </w:r>
                  <w:r>
                    <w:rPr>
                      <w:rFonts w:hint="eastAsia"/>
                      <w:color w:val="auto"/>
                      <w:highlight w:val="none"/>
                      <w:lang w:val="en-US" w:eastAsia="zh-CN"/>
                    </w:rPr>
                    <w:t>2</w:t>
                  </w:r>
                </w:p>
              </w:tc>
              <w:tc>
                <w:tcPr>
                  <w:tcW w:w="957" w:type="pct"/>
                  <w:vMerge w:val="continue"/>
                  <w:vAlign w:val="center"/>
                </w:tcPr>
                <w:p>
                  <w:pPr>
                    <w:pStyle w:val="39"/>
                    <w:spacing w:line="300" w:lineRule="exact"/>
                    <w:rPr>
                      <w:color w:val="auto"/>
                      <w:highlight w:val="none"/>
                    </w:rPr>
                  </w:pPr>
                </w:p>
              </w:tc>
              <w:tc>
                <w:tcPr>
                  <w:tcW w:w="588" w:type="pct"/>
                  <w:vAlign w:val="center"/>
                </w:tcPr>
                <w:p>
                  <w:pPr>
                    <w:pStyle w:val="39"/>
                    <w:spacing w:line="300" w:lineRule="exact"/>
                    <w:rPr>
                      <w:rFonts w:hint="eastAsia"/>
                      <w:color w:val="auto"/>
                      <w:highlight w:val="none"/>
                    </w:rPr>
                  </w:pPr>
                  <w:r>
                    <w:rPr>
                      <w:rFonts w:hint="eastAsia"/>
                      <w:color w:val="auto"/>
                      <w:highlight w:val="none"/>
                    </w:rPr>
                    <w:t>每年一次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6" w:hRule="atLeast"/>
              </w:trPr>
              <w:tc>
                <w:tcPr>
                  <w:tcW w:w="955" w:type="pct"/>
                  <w:shd w:val="clear" w:color="auto" w:fill="auto"/>
                  <w:vAlign w:val="center"/>
                </w:tcPr>
                <w:p>
                  <w:pPr>
                    <w:pStyle w:val="39"/>
                    <w:spacing w:line="300" w:lineRule="exact"/>
                    <w:rPr>
                      <w:rFonts w:hint="default" w:ascii="Times New Roman" w:hAnsi="Times New Roman" w:eastAsia="宋体" w:cs="Times New Roman"/>
                      <w:iCs/>
                      <w:color w:val="auto"/>
                      <w:kern w:val="2"/>
                      <w:sz w:val="21"/>
                      <w:szCs w:val="21"/>
                      <w:highlight w:val="none"/>
                      <w:lang w:val="en-US" w:eastAsia="zh-CN" w:bidi="ar-SA"/>
                    </w:rPr>
                  </w:pPr>
                  <w:r>
                    <w:rPr>
                      <w:rFonts w:hint="eastAsia"/>
                      <w:color w:val="auto"/>
                      <w:highlight w:val="none"/>
                      <w:lang w:val="en-US" w:eastAsia="zh-CN"/>
                    </w:rPr>
                    <w:t>混矿库S-2~6、S-9、S-14号等输送机卸料点及西侧配料皮带秤卸料点</w:t>
                  </w:r>
                </w:p>
              </w:tc>
              <w:tc>
                <w:tcPr>
                  <w:tcW w:w="657" w:type="pct"/>
                  <w:vMerge w:val="continue"/>
                  <w:shd w:val="clear" w:color="auto" w:fill="auto"/>
                  <w:vAlign w:val="center"/>
                </w:tcPr>
                <w:p>
                  <w:pPr>
                    <w:pStyle w:val="39"/>
                    <w:spacing w:line="300" w:lineRule="exact"/>
                    <w:rPr>
                      <w:rFonts w:ascii="Times New Roman" w:hAnsi="Times New Roman" w:eastAsia="宋体" w:cs="Times New Roman"/>
                      <w:iCs/>
                      <w:color w:val="auto"/>
                      <w:kern w:val="2"/>
                      <w:sz w:val="21"/>
                      <w:szCs w:val="21"/>
                      <w:highlight w:val="none"/>
                      <w:lang w:val="en-US" w:eastAsia="zh-CN" w:bidi="ar-SA"/>
                    </w:rPr>
                  </w:pPr>
                </w:p>
              </w:tc>
              <w:tc>
                <w:tcPr>
                  <w:tcW w:w="1027" w:type="pct"/>
                  <w:shd w:val="clear" w:color="auto" w:fill="auto"/>
                  <w:vAlign w:val="center"/>
                </w:tcPr>
                <w:p>
                  <w:pPr>
                    <w:pStyle w:val="39"/>
                    <w:spacing w:line="300" w:lineRule="exact"/>
                    <w:jc w:val="center"/>
                    <w:rPr>
                      <w:rFonts w:ascii="Times New Roman" w:hAnsi="Times New Roman" w:eastAsia="宋体" w:cs="Times New Roman"/>
                      <w:iCs/>
                      <w:color w:val="auto"/>
                      <w:kern w:val="2"/>
                      <w:sz w:val="21"/>
                      <w:szCs w:val="21"/>
                      <w:highlight w:val="none"/>
                      <w:lang w:val="en-US" w:eastAsia="zh-CN" w:bidi="ar-SA"/>
                    </w:rPr>
                  </w:pPr>
                  <w:r>
                    <w:rPr>
                      <w:rFonts w:hint="eastAsia"/>
                      <w:color w:val="auto"/>
                      <w:kern w:val="0"/>
                      <w:highlight w:val="none"/>
                      <w:lang w:val="en-US" w:eastAsia="zh-CN" w:bidi="ar"/>
                    </w:rPr>
                    <w:t>塑烧板除尘器</w:t>
                  </w:r>
                  <w:r>
                    <w:rPr>
                      <w:color w:val="auto"/>
                      <w:kern w:val="0"/>
                      <w:highlight w:val="none"/>
                      <w:lang w:bidi="ar"/>
                    </w:rPr>
                    <w:t>+15m高排气筒排放，喷雾降尘，封闭车间沉降</w:t>
                  </w:r>
                </w:p>
              </w:tc>
              <w:tc>
                <w:tcPr>
                  <w:tcW w:w="813" w:type="pct"/>
                  <w:vAlign w:val="center"/>
                </w:tcPr>
                <w:p>
                  <w:pPr>
                    <w:pStyle w:val="39"/>
                    <w:spacing w:line="300" w:lineRule="exact"/>
                    <w:rPr>
                      <w:color w:val="auto"/>
                      <w:highlight w:val="none"/>
                    </w:rPr>
                  </w:pPr>
                  <w:r>
                    <w:rPr>
                      <w:color w:val="auto"/>
                      <w:kern w:val="0"/>
                      <w:szCs w:val="21"/>
                      <w:highlight w:val="none"/>
                      <w:lang w:bidi="ar"/>
                    </w:rPr>
                    <w:t>DA00</w:t>
                  </w:r>
                  <w:r>
                    <w:rPr>
                      <w:rFonts w:hint="eastAsia"/>
                      <w:color w:val="auto"/>
                      <w:kern w:val="0"/>
                      <w:szCs w:val="21"/>
                      <w:highlight w:val="none"/>
                      <w:lang w:val="en-US" w:eastAsia="zh-CN" w:bidi="ar"/>
                    </w:rPr>
                    <w:t>3</w:t>
                  </w:r>
                </w:p>
              </w:tc>
              <w:tc>
                <w:tcPr>
                  <w:tcW w:w="957" w:type="pct"/>
                  <w:vMerge w:val="continue"/>
                  <w:vAlign w:val="center"/>
                </w:tcPr>
                <w:p>
                  <w:pPr>
                    <w:pStyle w:val="39"/>
                    <w:spacing w:line="300" w:lineRule="exact"/>
                    <w:rPr>
                      <w:color w:val="auto"/>
                      <w:highlight w:val="none"/>
                    </w:rPr>
                  </w:pPr>
                </w:p>
              </w:tc>
              <w:tc>
                <w:tcPr>
                  <w:tcW w:w="588" w:type="pct"/>
                  <w:vAlign w:val="center"/>
                </w:tcPr>
                <w:p>
                  <w:pPr>
                    <w:pStyle w:val="39"/>
                    <w:spacing w:line="300" w:lineRule="exact"/>
                    <w:rPr>
                      <w:rFonts w:hint="eastAsia"/>
                      <w:color w:val="auto"/>
                      <w:highlight w:val="none"/>
                    </w:rPr>
                  </w:pPr>
                  <w:r>
                    <w:rPr>
                      <w:rFonts w:hint="eastAsia"/>
                      <w:color w:val="auto"/>
                      <w:highlight w:val="none"/>
                    </w:rPr>
                    <w:t>每年一次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955" w:type="pct"/>
                  <w:vAlign w:val="center"/>
                </w:tcPr>
                <w:p>
                  <w:pPr>
                    <w:widowControl/>
                    <w:jc w:val="center"/>
                    <w:textAlignment w:val="center"/>
                    <w:rPr>
                      <w:rFonts w:hint="eastAsia"/>
                      <w:color w:val="auto"/>
                      <w:kern w:val="0"/>
                      <w:highlight w:val="none"/>
                      <w:lang w:bidi="ar"/>
                    </w:rPr>
                  </w:pPr>
                  <w:r>
                    <w:rPr>
                      <w:rFonts w:hint="eastAsia"/>
                      <w:color w:val="auto"/>
                      <w:kern w:val="0"/>
                      <w:szCs w:val="21"/>
                      <w:highlight w:val="none"/>
                      <w:lang w:val="en-US" w:eastAsia="zh-CN" w:bidi="ar"/>
                    </w:rPr>
                    <w:t>4#胶带输送机，</w:t>
                  </w:r>
                  <w:r>
                    <w:rPr>
                      <w:rFonts w:hint="eastAsia"/>
                      <w:color w:val="auto"/>
                      <w:highlight w:val="none"/>
                      <w:lang w:val="en-US" w:eastAsia="zh-CN"/>
                    </w:rPr>
                    <w:t>混矿库S-1、S-7~8、S-10、S-15等输送机卸料点及东侧配料皮带秤卸料点</w:t>
                  </w:r>
                </w:p>
              </w:tc>
              <w:tc>
                <w:tcPr>
                  <w:tcW w:w="657" w:type="pct"/>
                  <w:vMerge w:val="continue"/>
                  <w:vAlign w:val="center"/>
                </w:tcPr>
                <w:p>
                  <w:pPr>
                    <w:pStyle w:val="39"/>
                    <w:spacing w:line="300" w:lineRule="exact"/>
                    <w:rPr>
                      <w:color w:val="auto"/>
                      <w:highlight w:val="none"/>
                    </w:rPr>
                  </w:pPr>
                </w:p>
              </w:tc>
              <w:tc>
                <w:tcPr>
                  <w:tcW w:w="1027" w:type="pct"/>
                  <w:vAlign w:val="center"/>
                </w:tcPr>
                <w:p>
                  <w:pPr>
                    <w:spacing w:line="300" w:lineRule="exact"/>
                    <w:jc w:val="center"/>
                    <w:rPr>
                      <w:rFonts w:hint="eastAsia"/>
                      <w:color w:val="auto"/>
                      <w:kern w:val="0"/>
                      <w:highlight w:val="none"/>
                      <w:lang w:bidi="ar"/>
                    </w:rPr>
                  </w:pPr>
                  <w:r>
                    <w:rPr>
                      <w:rFonts w:hint="eastAsia"/>
                      <w:color w:val="auto"/>
                      <w:kern w:val="0"/>
                      <w:highlight w:val="none"/>
                      <w:lang w:val="en-US" w:eastAsia="zh-CN" w:bidi="ar"/>
                    </w:rPr>
                    <w:t>塑烧板除尘器</w:t>
                  </w:r>
                  <w:r>
                    <w:rPr>
                      <w:color w:val="auto"/>
                      <w:kern w:val="0"/>
                      <w:highlight w:val="none"/>
                      <w:lang w:bidi="ar"/>
                    </w:rPr>
                    <w:t>+15m高排气筒排放，喷雾降尘，封闭车间沉降</w:t>
                  </w:r>
                </w:p>
              </w:tc>
              <w:tc>
                <w:tcPr>
                  <w:tcW w:w="813" w:type="pct"/>
                  <w:shd w:val="clear" w:color="auto" w:fill="auto"/>
                  <w:vAlign w:val="center"/>
                </w:tcPr>
                <w:p>
                  <w:pPr>
                    <w:widowControl/>
                    <w:jc w:val="center"/>
                    <w:textAlignment w:val="center"/>
                    <w:rPr>
                      <w:rFonts w:hint="eastAsia" w:ascii="Times New Roman" w:hAnsi="Times New Roman" w:eastAsia="宋体" w:cs="Times New Roman"/>
                      <w:iCs/>
                      <w:color w:val="auto"/>
                      <w:kern w:val="2"/>
                      <w:sz w:val="21"/>
                      <w:szCs w:val="21"/>
                      <w:highlight w:val="none"/>
                      <w:lang w:val="en-US" w:eastAsia="zh-CN" w:bidi="ar-SA"/>
                    </w:rPr>
                  </w:pPr>
                  <w:r>
                    <w:rPr>
                      <w:color w:val="auto"/>
                      <w:kern w:val="0"/>
                      <w:szCs w:val="21"/>
                      <w:highlight w:val="none"/>
                      <w:lang w:bidi="ar"/>
                    </w:rPr>
                    <w:t>DA00</w:t>
                  </w:r>
                  <w:r>
                    <w:rPr>
                      <w:rFonts w:hint="eastAsia"/>
                      <w:color w:val="auto"/>
                      <w:kern w:val="0"/>
                      <w:szCs w:val="21"/>
                      <w:highlight w:val="none"/>
                      <w:lang w:val="en-US" w:eastAsia="zh-CN" w:bidi="ar"/>
                    </w:rPr>
                    <w:t>4</w:t>
                  </w:r>
                </w:p>
              </w:tc>
              <w:tc>
                <w:tcPr>
                  <w:tcW w:w="957" w:type="pct"/>
                  <w:vMerge w:val="continue"/>
                  <w:shd w:val="clear" w:color="auto" w:fill="auto"/>
                  <w:vAlign w:val="center"/>
                </w:tcPr>
                <w:p>
                  <w:pPr>
                    <w:pStyle w:val="39"/>
                    <w:spacing w:line="300" w:lineRule="exact"/>
                    <w:rPr>
                      <w:color w:val="auto"/>
                      <w:highlight w:val="none"/>
                    </w:rPr>
                  </w:pPr>
                </w:p>
              </w:tc>
              <w:tc>
                <w:tcPr>
                  <w:tcW w:w="588" w:type="pct"/>
                  <w:vAlign w:val="center"/>
                </w:tcPr>
                <w:p>
                  <w:pPr>
                    <w:pStyle w:val="39"/>
                    <w:spacing w:line="300" w:lineRule="exact"/>
                    <w:rPr>
                      <w:rFonts w:hint="eastAsia"/>
                      <w:color w:val="auto"/>
                      <w:highlight w:val="none"/>
                    </w:rPr>
                  </w:pPr>
                  <w:r>
                    <w:rPr>
                      <w:rFonts w:hint="eastAsia"/>
                      <w:color w:val="auto"/>
                      <w:highlight w:val="none"/>
                    </w:rPr>
                    <w:t>每年一次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955" w:type="pct"/>
                  <w:vAlign w:val="center"/>
                </w:tcPr>
                <w:p>
                  <w:pPr>
                    <w:widowControl/>
                    <w:jc w:val="center"/>
                    <w:textAlignment w:val="center"/>
                    <w:rPr>
                      <w:rFonts w:hint="eastAsia"/>
                      <w:color w:val="auto"/>
                      <w:highlight w:val="none"/>
                      <w:lang w:val="en-US" w:eastAsia="zh-CN"/>
                    </w:rPr>
                  </w:pPr>
                  <w:r>
                    <w:rPr>
                      <w:rFonts w:hint="eastAsia"/>
                      <w:color w:val="auto"/>
                      <w:highlight w:val="none"/>
                      <w:lang w:val="en-US" w:eastAsia="zh-CN"/>
                    </w:rPr>
                    <w:t>车间</w:t>
                  </w:r>
                  <w:r>
                    <w:rPr>
                      <w:color w:val="auto"/>
                      <w:highlight w:val="none"/>
                    </w:rPr>
                    <w:t>无组织粉尘（堆场粉尘、</w:t>
                  </w:r>
                  <w:r>
                    <w:rPr>
                      <w:rFonts w:hint="eastAsia"/>
                      <w:color w:val="auto"/>
                      <w:highlight w:val="none"/>
                    </w:rPr>
                    <w:t>配料</w:t>
                  </w:r>
                  <w:r>
                    <w:rPr>
                      <w:color w:val="auto"/>
                      <w:highlight w:val="none"/>
                    </w:rPr>
                    <w:t>粉尘、</w:t>
                  </w:r>
                  <w:r>
                    <w:rPr>
                      <w:rFonts w:hint="eastAsia"/>
                      <w:color w:val="auto"/>
                      <w:highlight w:val="none"/>
                    </w:rPr>
                    <w:t>装卸</w:t>
                  </w:r>
                  <w:r>
                    <w:rPr>
                      <w:color w:val="auto"/>
                      <w:highlight w:val="none"/>
                    </w:rPr>
                    <w:t>粉尘</w:t>
                  </w:r>
                  <w:r>
                    <w:rPr>
                      <w:rFonts w:hint="eastAsia"/>
                      <w:color w:val="auto"/>
                      <w:highlight w:val="none"/>
                    </w:rPr>
                    <w:t>等</w:t>
                  </w:r>
                  <w:r>
                    <w:rPr>
                      <w:color w:val="auto"/>
                      <w:highlight w:val="none"/>
                    </w:rPr>
                    <w:t>）</w:t>
                  </w:r>
                </w:p>
              </w:tc>
              <w:tc>
                <w:tcPr>
                  <w:tcW w:w="657" w:type="pct"/>
                  <w:vMerge w:val="continue"/>
                  <w:vAlign w:val="center"/>
                </w:tcPr>
                <w:p>
                  <w:pPr>
                    <w:pStyle w:val="39"/>
                    <w:spacing w:line="300" w:lineRule="exact"/>
                    <w:rPr>
                      <w:color w:val="auto"/>
                      <w:highlight w:val="none"/>
                    </w:rPr>
                  </w:pPr>
                </w:p>
              </w:tc>
              <w:tc>
                <w:tcPr>
                  <w:tcW w:w="1027" w:type="pct"/>
                  <w:shd w:val="clear" w:color="auto" w:fill="auto"/>
                  <w:vAlign w:val="center"/>
                </w:tcPr>
                <w:p>
                  <w:pPr>
                    <w:pStyle w:val="39"/>
                    <w:spacing w:line="300" w:lineRule="exact"/>
                    <w:rPr>
                      <w:rFonts w:hint="eastAsia" w:ascii="Times New Roman" w:hAnsi="Times New Roman" w:eastAsia="宋体" w:cs="Times New Roman"/>
                      <w:iCs/>
                      <w:color w:val="auto"/>
                      <w:kern w:val="2"/>
                      <w:sz w:val="21"/>
                      <w:szCs w:val="21"/>
                      <w:highlight w:val="none"/>
                      <w:lang w:val="en-US" w:eastAsia="zh-CN" w:bidi="ar-SA"/>
                    </w:rPr>
                  </w:pPr>
                  <w:r>
                    <w:rPr>
                      <w:rFonts w:hint="eastAsia"/>
                      <w:color w:val="auto"/>
                      <w:kern w:val="0"/>
                      <w:highlight w:val="none"/>
                      <w:lang w:bidi="ar"/>
                    </w:rPr>
                    <w:t>智能高压喷雾抑尘装置，对装卸粉尘进行喷雾降尘，原料堆场设移动式围挡、封闭车间沉降</w:t>
                  </w:r>
                </w:p>
              </w:tc>
              <w:tc>
                <w:tcPr>
                  <w:tcW w:w="813" w:type="pct"/>
                  <w:shd w:val="clear" w:color="auto" w:fill="auto"/>
                  <w:vAlign w:val="center"/>
                </w:tcPr>
                <w:p>
                  <w:pPr>
                    <w:pStyle w:val="39"/>
                    <w:spacing w:line="300" w:lineRule="exact"/>
                    <w:rPr>
                      <w:rFonts w:ascii="Times New Roman" w:hAnsi="Times New Roman" w:eastAsia="宋体" w:cs="Times New Roman"/>
                      <w:iCs/>
                      <w:color w:val="auto"/>
                      <w:kern w:val="2"/>
                      <w:sz w:val="21"/>
                      <w:szCs w:val="21"/>
                      <w:highlight w:val="none"/>
                      <w:lang w:val="en-US" w:eastAsia="zh-CN" w:bidi="ar-SA"/>
                    </w:rPr>
                  </w:pPr>
                  <w:r>
                    <w:rPr>
                      <w:rFonts w:hint="eastAsia"/>
                      <w:color w:val="auto"/>
                      <w:highlight w:val="none"/>
                    </w:rPr>
                    <w:t>厂界</w:t>
                  </w:r>
                </w:p>
              </w:tc>
              <w:tc>
                <w:tcPr>
                  <w:tcW w:w="957" w:type="pct"/>
                  <w:vMerge w:val="continue"/>
                  <w:shd w:val="clear" w:color="auto" w:fill="auto"/>
                  <w:vAlign w:val="center"/>
                </w:tcPr>
                <w:p>
                  <w:pPr>
                    <w:pStyle w:val="39"/>
                    <w:spacing w:line="300" w:lineRule="exact"/>
                    <w:rPr>
                      <w:color w:val="auto"/>
                      <w:highlight w:val="none"/>
                    </w:rPr>
                  </w:pPr>
                </w:p>
              </w:tc>
              <w:tc>
                <w:tcPr>
                  <w:tcW w:w="588" w:type="pct"/>
                  <w:vAlign w:val="center"/>
                </w:tcPr>
                <w:p>
                  <w:pPr>
                    <w:pStyle w:val="39"/>
                    <w:spacing w:line="300" w:lineRule="exact"/>
                    <w:rPr>
                      <w:rFonts w:hint="eastAsia"/>
                      <w:color w:val="auto"/>
                      <w:highlight w:val="none"/>
                    </w:rPr>
                  </w:pPr>
                  <w:r>
                    <w:rPr>
                      <w:rFonts w:hint="eastAsia"/>
                      <w:color w:val="auto"/>
                      <w:highlight w:val="none"/>
                    </w:rPr>
                    <w:t>每</w:t>
                  </w:r>
                  <w:r>
                    <w:rPr>
                      <w:rFonts w:hint="eastAsia"/>
                      <w:color w:val="auto"/>
                      <w:highlight w:val="none"/>
                      <w:lang w:val="en-US" w:eastAsia="zh-CN"/>
                    </w:rPr>
                    <w:t>季度</w:t>
                  </w:r>
                  <w:r>
                    <w:rPr>
                      <w:rFonts w:hint="eastAsia"/>
                      <w:color w:val="auto"/>
                      <w:highlight w:val="none"/>
                    </w:rPr>
                    <w:t>一次</w:t>
                  </w:r>
                </w:p>
              </w:tc>
            </w:tr>
          </w:tbl>
          <w:p>
            <w:pPr>
              <w:pStyle w:val="29"/>
              <w:tabs>
                <w:tab w:val="left" w:pos="644"/>
              </w:tabs>
              <w:rPr>
                <w:color w:val="auto"/>
                <w:highlight w:val="none"/>
              </w:rPr>
            </w:pPr>
            <w:r>
              <w:rPr>
                <w:rFonts w:hint="eastAsia"/>
                <w:color w:val="auto"/>
                <w:highlight w:val="none"/>
              </w:rPr>
              <w:t>4.2.2 废水</w:t>
            </w:r>
          </w:p>
          <w:p>
            <w:pPr>
              <w:pStyle w:val="42"/>
              <w:tabs>
                <w:tab w:val="left" w:pos="0"/>
              </w:tabs>
              <w:rPr>
                <w:color w:val="auto"/>
                <w:highlight w:val="none"/>
              </w:rPr>
            </w:pPr>
            <w:r>
              <w:rPr>
                <w:rFonts w:hint="eastAsia"/>
                <w:color w:val="auto"/>
                <w:highlight w:val="none"/>
              </w:rPr>
              <w:t>4.2.2.1 废水源强核算</w:t>
            </w:r>
          </w:p>
          <w:p>
            <w:pPr>
              <w:pStyle w:val="32"/>
              <w:ind w:firstLine="480"/>
              <w:rPr>
                <w:color w:val="auto"/>
                <w:highlight w:val="none"/>
              </w:rPr>
            </w:pPr>
            <w:r>
              <w:rPr>
                <w:rFonts w:hint="eastAsia"/>
                <w:color w:val="auto"/>
                <w:highlight w:val="none"/>
              </w:rPr>
              <w:t>根据前文用排水情况及水平衡分析，洗车废水、洗手池废水、地面冲洗用水沉淀后循环使用，</w:t>
            </w:r>
            <w:r>
              <w:rPr>
                <w:rFonts w:hint="eastAsia"/>
                <w:color w:val="auto"/>
                <w:highlight w:val="none"/>
                <w:lang w:val="en-US" w:eastAsia="zh-CN"/>
              </w:rPr>
              <w:t>干雾</w:t>
            </w:r>
            <w:r>
              <w:rPr>
                <w:rFonts w:hint="eastAsia"/>
                <w:color w:val="auto"/>
                <w:highlight w:val="none"/>
              </w:rPr>
              <w:t>抑尘用水全被物料吸收及自然蒸发，无生产废水外排</w:t>
            </w:r>
            <w:r>
              <w:rPr>
                <w:color w:val="auto"/>
                <w:highlight w:val="none"/>
              </w:rPr>
              <w:t>。</w:t>
            </w:r>
            <w:r>
              <w:rPr>
                <w:rFonts w:hint="eastAsia"/>
                <w:color w:val="auto"/>
                <w:highlight w:val="none"/>
              </w:rPr>
              <w:t>初期雨水经沉淀后用于</w:t>
            </w:r>
            <w:r>
              <w:rPr>
                <w:rFonts w:hint="eastAsia"/>
                <w:color w:val="auto"/>
                <w:highlight w:val="none"/>
                <w:lang w:val="en-US" w:eastAsia="zh-CN"/>
              </w:rPr>
              <w:t>干雾</w:t>
            </w:r>
            <w:r>
              <w:rPr>
                <w:rFonts w:hint="eastAsia"/>
                <w:color w:val="auto"/>
                <w:highlight w:val="none"/>
              </w:rPr>
              <w:t>抑尘用水，不外排。</w:t>
            </w:r>
          </w:p>
          <w:p>
            <w:pPr>
              <w:pStyle w:val="32"/>
              <w:ind w:firstLine="480"/>
              <w:rPr>
                <w:color w:val="auto"/>
                <w:highlight w:val="none"/>
              </w:rPr>
            </w:pPr>
            <w:r>
              <w:rPr>
                <w:rFonts w:hint="eastAsia"/>
                <w:color w:val="auto"/>
                <w:highlight w:val="none"/>
              </w:rPr>
              <w:t>1.生活污水</w:t>
            </w:r>
          </w:p>
          <w:p>
            <w:pPr>
              <w:pStyle w:val="32"/>
              <w:ind w:firstLine="480"/>
              <w:rPr>
                <w:color w:val="auto"/>
                <w:highlight w:val="none"/>
              </w:rPr>
            </w:pPr>
            <w:r>
              <w:rPr>
                <w:color w:val="auto"/>
                <w:highlight w:val="none"/>
              </w:rPr>
              <w:t>生活污水排放量为</w:t>
            </w:r>
            <w:r>
              <w:rPr>
                <w:rFonts w:hint="eastAsia"/>
                <w:color w:val="auto"/>
                <w:highlight w:val="none"/>
                <w:lang w:val="en-US" w:eastAsia="zh-CN"/>
              </w:rPr>
              <w:t>2.16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712.8</w:t>
            </w:r>
            <w:r>
              <w:rPr>
                <w:rFonts w:hint="eastAsia"/>
                <w:color w:val="auto"/>
                <w:highlight w:val="none"/>
              </w:rPr>
              <w:t>m</w:t>
            </w:r>
            <w:r>
              <w:rPr>
                <w:rFonts w:hint="eastAsia"/>
                <w:color w:val="auto"/>
                <w:highlight w:val="none"/>
                <w:vertAlign w:val="superscript"/>
              </w:rPr>
              <w:t>3</w:t>
            </w:r>
            <w:r>
              <w:rPr>
                <w:rFonts w:hint="eastAsia"/>
                <w:color w:val="auto"/>
                <w:highlight w:val="none"/>
              </w:rPr>
              <w:t>/a）</w:t>
            </w:r>
            <w:r>
              <w:rPr>
                <w:color w:val="auto"/>
                <w:highlight w:val="none"/>
              </w:rPr>
              <w:t>。参考《给排水设计手册》（第五册城镇排水）典型生活污水水质示例，生活污水中主要污染指标浓度选取为：COD400mg/L，BOD</w:t>
            </w:r>
            <w:r>
              <w:rPr>
                <w:color w:val="auto"/>
                <w:highlight w:val="none"/>
                <w:vertAlign w:val="subscript"/>
              </w:rPr>
              <w:t>5</w:t>
            </w:r>
            <w:r>
              <w:rPr>
                <w:color w:val="auto"/>
                <w:highlight w:val="none"/>
              </w:rPr>
              <w:t>220mg/L，SS200mg/L，NH</w:t>
            </w:r>
            <w:r>
              <w:rPr>
                <w:color w:val="auto"/>
                <w:highlight w:val="none"/>
                <w:vertAlign w:val="subscript"/>
              </w:rPr>
              <w:t>3</w:t>
            </w:r>
            <w:r>
              <w:rPr>
                <w:color w:val="auto"/>
                <w:highlight w:val="none"/>
              </w:rPr>
              <w:t>-N35mg/L。经过化粪池预处理之后生活</w:t>
            </w:r>
            <w:r>
              <w:rPr>
                <w:rFonts w:hint="eastAsia"/>
                <w:color w:val="auto"/>
                <w:highlight w:val="none"/>
              </w:rPr>
              <w:t>污</w:t>
            </w:r>
            <w:r>
              <w:rPr>
                <w:color w:val="auto"/>
                <w:highlight w:val="none"/>
              </w:rPr>
              <w:t>水污染物浓度为：COD280mg/L，BOD</w:t>
            </w:r>
            <w:r>
              <w:rPr>
                <w:color w:val="auto"/>
                <w:highlight w:val="none"/>
                <w:vertAlign w:val="subscript"/>
              </w:rPr>
              <w:t>5</w:t>
            </w:r>
            <w:r>
              <w:rPr>
                <w:color w:val="auto"/>
                <w:highlight w:val="none"/>
              </w:rPr>
              <w:t>154mg/L，SS146mg/L，NH</w:t>
            </w:r>
            <w:r>
              <w:rPr>
                <w:color w:val="auto"/>
                <w:highlight w:val="none"/>
                <w:vertAlign w:val="subscript"/>
              </w:rPr>
              <w:t>3</w:t>
            </w:r>
            <w:r>
              <w:rPr>
                <w:color w:val="auto"/>
                <w:highlight w:val="none"/>
              </w:rPr>
              <w:t>-N35mg/L。</w:t>
            </w:r>
          </w:p>
          <w:p>
            <w:pPr>
              <w:pStyle w:val="32"/>
              <w:ind w:firstLine="480"/>
              <w:rPr>
                <w:color w:val="auto"/>
                <w:highlight w:val="none"/>
              </w:rPr>
            </w:pPr>
            <w:r>
              <w:rPr>
                <w:rFonts w:hint="eastAsia"/>
                <w:color w:val="auto"/>
                <w:highlight w:val="none"/>
              </w:rPr>
              <w:t>生活污水依托国际物流中心的</w:t>
            </w:r>
            <w:r>
              <w:rPr>
                <w:color w:val="auto"/>
                <w:highlight w:val="none"/>
              </w:rPr>
              <w:t>化粪池</w:t>
            </w:r>
            <w:r>
              <w:rPr>
                <w:rFonts w:hint="eastAsia"/>
                <w:color w:val="auto"/>
                <w:highlight w:val="none"/>
              </w:rPr>
              <w:t>，</w:t>
            </w:r>
            <w:r>
              <w:rPr>
                <w:color w:val="auto"/>
                <w:highlight w:val="none"/>
              </w:rPr>
              <w:t>处理后</w:t>
            </w:r>
            <w:r>
              <w:rPr>
                <w:rFonts w:hint="eastAsia"/>
                <w:color w:val="auto"/>
                <w:highlight w:val="none"/>
              </w:rPr>
              <w:t>达到漳湾临港工业区临时一体化污水处理厂进水水质要求</w:t>
            </w:r>
            <w:r>
              <w:rPr>
                <w:color w:val="auto"/>
                <w:highlight w:val="none"/>
              </w:rPr>
              <w:t>后</w:t>
            </w:r>
            <w:r>
              <w:rPr>
                <w:rFonts w:hint="eastAsia"/>
                <w:color w:val="auto"/>
                <w:highlight w:val="none"/>
              </w:rPr>
              <w:t>排入漳湾临港工业区临时一体化污水处理厂</w:t>
            </w:r>
            <w:r>
              <w:rPr>
                <w:rFonts w:hint="eastAsia"/>
                <w:bCs/>
                <w:color w:val="auto"/>
                <w:kern w:val="0"/>
                <w:highlight w:val="none"/>
              </w:rPr>
              <w:t>处理</w:t>
            </w:r>
            <w:r>
              <w:rPr>
                <w:rFonts w:hint="eastAsia"/>
                <w:color w:val="auto"/>
                <w:highlight w:val="none"/>
              </w:rPr>
              <w:t>。</w:t>
            </w:r>
          </w:p>
          <w:p>
            <w:pPr>
              <w:pStyle w:val="36"/>
              <w:rPr>
                <w:rFonts w:hint="eastAsia"/>
                <w:color w:val="auto"/>
                <w:highlight w:val="none"/>
              </w:rPr>
            </w:pPr>
          </w:p>
          <w:p>
            <w:pPr>
              <w:pStyle w:val="36"/>
              <w:rPr>
                <w:rFonts w:hint="eastAsia"/>
                <w:color w:val="auto"/>
                <w:highlight w:val="none"/>
              </w:rPr>
            </w:pPr>
          </w:p>
          <w:p>
            <w:pPr>
              <w:pStyle w:val="36"/>
              <w:rPr>
                <w:rFonts w:hint="eastAsia"/>
                <w:color w:val="auto"/>
                <w:highlight w:val="none"/>
              </w:rPr>
            </w:pPr>
          </w:p>
          <w:p>
            <w:pPr>
              <w:pStyle w:val="36"/>
              <w:rPr>
                <w:color w:val="auto"/>
                <w:highlight w:val="none"/>
              </w:rPr>
            </w:pPr>
            <w:r>
              <w:rPr>
                <w:rFonts w:hint="eastAsia"/>
                <w:color w:val="auto"/>
                <w:highlight w:val="none"/>
              </w:rPr>
              <w:t>表 4.2.1</w:t>
            </w:r>
            <w:r>
              <w:rPr>
                <w:rFonts w:hint="eastAsia"/>
                <w:color w:val="auto"/>
                <w:highlight w:val="none"/>
                <w:lang w:val="en-US" w:eastAsia="zh-CN"/>
              </w:rPr>
              <w:t>4</w:t>
            </w:r>
            <w:r>
              <w:rPr>
                <w:rFonts w:hint="eastAsia"/>
                <w:color w:val="auto"/>
                <w:highlight w:val="none"/>
              </w:rPr>
              <w:t xml:space="preserve">  项目污水排放浓度及排放量一览表</w:t>
            </w:r>
          </w:p>
          <w:tbl>
            <w:tblPr>
              <w:tblStyle w:val="3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126"/>
              <w:gridCol w:w="1376"/>
              <w:gridCol w:w="1376"/>
              <w:gridCol w:w="1376"/>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1"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项目</w:t>
                  </w:r>
                </w:p>
              </w:tc>
              <w:tc>
                <w:tcPr>
                  <w:tcW w:w="797"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CODcr</w:t>
                  </w:r>
                </w:p>
              </w:tc>
              <w:tc>
                <w:tcPr>
                  <w:tcW w:w="797"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BOD</w:t>
                  </w:r>
                  <w:r>
                    <w:rPr>
                      <w:rFonts w:hint="eastAsia"/>
                      <w:color w:val="auto"/>
                      <w:kern w:val="0"/>
                      <w:szCs w:val="21"/>
                      <w:highlight w:val="none"/>
                      <w:vertAlign w:val="subscript"/>
                      <w:lang w:bidi="ar"/>
                    </w:rPr>
                    <w:t>5</w:t>
                  </w:r>
                </w:p>
              </w:tc>
              <w:tc>
                <w:tcPr>
                  <w:tcW w:w="797"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SS</w:t>
                  </w:r>
                </w:p>
              </w:tc>
              <w:tc>
                <w:tcPr>
                  <w:tcW w:w="797"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7"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废水量</w:t>
                  </w:r>
                  <w:r>
                    <w:rPr>
                      <w:rFonts w:hint="eastAsia"/>
                      <w:color w:val="auto"/>
                      <w:highlight w:val="none"/>
                    </w:rPr>
                    <w:t>（m</w:t>
                  </w:r>
                  <w:r>
                    <w:rPr>
                      <w:rFonts w:hint="eastAsia"/>
                      <w:color w:val="auto"/>
                      <w:highlight w:val="none"/>
                      <w:vertAlign w:val="superscript"/>
                    </w:rPr>
                    <w:t>3</w:t>
                  </w:r>
                  <w:r>
                    <w:rPr>
                      <w:rFonts w:hint="eastAsia"/>
                      <w:color w:val="auto"/>
                      <w:highlight w:val="none"/>
                    </w:rPr>
                    <w:t>/a）</w:t>
                  </w:r>
                </w:p>
              </w:tc>
              <w:tc>
                <w:tcPr>
                  <w:tcW w:w="5504" w:type="dxa"/>
                  <w:gridSpan w:val="4"/>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712.8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产生浓度</w:t>
                  </w:r>
                  <w:r>
                    <w:rPr>
                      <w:rFonts w:hint="eastAsia"/>
                      <w:color w:val="auto"/>
                      <w:highlight w:val="none"/>
                    </w:rPr>
                    <w:t>（mg/L）</w:t>
                  </w:r>
                </w:p>
              </w:tc>
              <w:tc>
                <w:tcPr>
                  <w:tcW w:w="1389"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371"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产生量</w:t>
                  </w:r>
                  <w:r>
                    <w:rPr>
                      <w:rFonts w:hint="eastAsia"/>
                      <w:color w:val="auto"/>
                      <w:highlight w:val="none"/>
                    </w:rPr>
                    <w:t>（t/a）</w:t>
                  </w:r>
                </w:p>
              </w:tc>
              <w:tc>
                <w:tcPr>
                  <w:tcW w:w="1389"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0.285 </w:t>
                  </w:r>
                </w:p>
              </w:tc>
              <w:tc>
                <w:tcPr>
                  <w:tcW w:w="1371"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0.157 </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0.143 </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处理措施</w:t>
                  </w:r>
                </w:p>
              </w:tc>
              <w:tc>
                <w:tcPr>
                  <w:tcW w:w="5504" w:type="dxa"/>
                  <w:gridSpan w:val="4"/>
                  <w:vAlign w:val="center"/>
                </w:tcPr>
                <w:p>
                  <w:pPr>
                    <w:keepNext w:val="0"/>
                    <w:keepLines w:val="0"/>
                    <w:widowControl/>
                    <w:suppressLineNumbers w:val="0"/>
                    <w:jc w:val="center"/>
                    <w:textAlignment w:val="center"/>
                    <w:rPr>
                      <w:color w:val="auto"/>
                      <w:kern w:val="0"/>
                      <w:szCs w:val="21"/>
                      <w:highlight w:val="none"/>
                      <w:lang w:bidi="ar"/>
                    </w:rPr>
                  </w:pPr>
                  <w:r>
                    <w:rPr>
                      <w:rFonts w:hint="eastAsia" w:ascii="宋体" w:hAnsi="宋体" w:eastAsia="宋体" w:cs="宋体"/>
                      <w:i w:val="0"/>
                      <w:iCs w:val="0"/>
                      <w:color w:val="auto"/>
                      <w:kern w:val="0"/>
                      <w:sz w:val="21"/>
                      <w:szCs w:val="21"/>
                      <w:highlight w:val="none"/>
                      <w:u w:val="none"/>
                      <w:lang w:val="en-US" w:eastAsia="zh-CN" w:bidi="ar"/>
                    </w:rPr>
                    <w:t>化粪池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排放浓度</w:t>
                  </w:r>
                </w:p>
              </w:tc>
              <w:tc>
                <w:tcPr>
                  <w:tcW w:w="1389"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280</w:t>
                  </w:r>
                </w:p>
              </w:tc>
              <w:tc>
                <w:tcPr>
                  <w:tcW w:w="1371"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154</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146</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811" w:type="pct"/>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排放量</w:t>
                  </w:r>
                </w:p>
              </w:tc>
              <w:tc>
                <w:tcPr>
                  <w:tcW w:w="1389"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0.200 </w:t>
                  </w:r>
                </w:p>
              </w:tc>
              <w:tc>
                <w:tcPr>
                  <w:tcW w:w="1371"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0.110 </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0.104 </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trPr>
              <w:tc>
                <w:tcPr>
                  <w:tcW w:w="1811" w:type="pct"/>
                  <w:vAlign w:val="center"/>
                </w:tcPr>
                <w:p>
                  <w:pPr>
                    <w:widowControl/>
                    <w:jc w:val="center"/>
                    <w:textAlignment w:val="center"/>
                    <w:rPr>
                      <w:color w:val="auto"/>
                      <w:kern w:val="0"/>
                      <w:szCs w:val="21"/>
                      <w:highlight w:val="none"/>
                      <w:lang w:bidi="ar"/>
                    </w:rPr>
                  </w:pPr>
                  <w:r>
                    <w:rPr>
                      <w:rFonts w:hint="eastAsia"/>
                      <w:color w:val="auto"/>
                      <w:highlight w:val="none"/>
                    </w:rPr>
                    <w:t>污水处理厂进水水质要求（mg/L）</w:t>
                  </w:r>
                </w:p>
              </w:tc>
              <w:tc>
                <w:tcPr>
                  <w:tcW w:w="1389"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371"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372" w:type="dxa"/>
                  <w:vAlign w:val="center"/>
                </w:tcPr>
                <w:p>
                  <w:pPr>
                    <w:keepNext w:val="0"/>
                    <w:keepLines w:val="0"/>
                    <w:widowControl/>
                    <w:suppressLineNumbers w:val="0"/>
                    <w:jc w:val="center"/>
                    <w:textAlignment w:val="center"/>
                    <w:rPr>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r>
          </w:tbl>
          <w:p>
            <w:pPr>
              <w:pStyle w:val="32"/>
              <w:ind w:firstLine="480"/>
              <w:rPr>
                <w:color w:val="auto"/>
                <w:highlight w:val="none"/>
              </w:rPr>
            </w:pPr>
            <w:r>
              <w:rPr>
                <w:rFonts w:hint="eastAsia"/>
                <w:color w:val="auto"/>
                <w:highlight w:val="none"/>
              </w:rPr>
              <w:t>2.初期雨水</w:t>
            </w:r>
          </w:p>
          <w:p>
            <w:pPr>
              <w:pStyle w:val="32"/>
              <w:ind w:firstLine="480"/>
              <w:rPr>
                <w:color w:val="auto"/>
                <w:highlight w:val="none"/>
              </w:rPr>
            </w:pPr>
            <w:r>
              <w:rPr>
                <w:rFonts w:hint="eastAsia"/>
                <w:color w:val="auto"/>
                <w:highlight w:val="none"/>
              </w:rPr>
              <w:t>本项目在</w:t>
            </w:r>
            <w:r>
              <w:rPr>
                <w:rFonts w:hint="eastAsia"/>
                <w:color w:val="auto"/>
                <w:highlight w:val="none"/>
                <w:lang w:eastAsia="zh-CN"/>
              </w:rPr>
              <w:t>封闭</w:t>
            </w:r>
            <w:r>
              <w:rPr>
                <w:rFonts w:hint="eastAsia"/>
                <w:color w:val="auto"/>
                <w:highlight w:val="none"/>
              </w:rPr>
              <w:t>仓库内</w:t>
            </w:r>
            <w:r>
              <w:rPr>
                <w:rFonts w:hint="eastAsia"/>
                <w:color w:val="auto"/>
                <w:highlight w:val="none"/>
                <w:lang w:val="en-US" w:eastAsia="zh-CN"/>
              </w:rPr>
              <w:t>输送、</w:t>
            </w:r>
            <w:r>
              <w:rPr>
                <w:rFonts w:hint="eastAsia"/>
                <w:color w:val="auto"/>
                <w:highlight w:val="none"/>
              </w:rPr>
              <w:t>卸料、混矿</w:t>
            </w:r>
            <w:r>
              <w:rPr>
                <w:rFonts w:hint="eastAsia"/>
                <w:color w:val="auto"/>
                <w:highlight w:val="none"/>
                <w:lang w:eastAsia="zh-CN"/>
              </w:rPr>
              <w:t>、</w:t>
            </w:r>
            <w:r>
              <w:rPr>
                <w:rFonts w:hint="eastAsia"/>
                <w:color w:val="auto"/>
                <w:highlight w:val="none"/>
                <w:lang w:val="en-US" w:eastAsia="zh-CN"/>
              </w:rPr>
              <w:t>堆存</w:t>
            </w:r>
            <w:r>
              <w:rPr>
                <w:rFonts w:hint="eastAsia"/>
                <w:color w:val="auto"/>
                <w:highlight w:val="none"/>
              </w:rPr>
              <w:t>，再经</w:t>
            </w:r>
            <w:r>
              <w:rPr>
                <w:rFonts w:hint="eastAsia"/>
                <w:color w:val="auto"/>
                <w:highlight w:val="none"/>
                <w:lang w:val="en-US" w:eastAsia="zh-CN"/>
              </w:rPr>
              <w:t>封闭胶带</w:t>
            </w:r>
            <w:r>
              <w:rPr>
                <w:rFonts w:hint="eastAsia"/>
                <w:color w:val="auto"/>
                <w:highlight w:val="none"/>
              </w:rPr>
              <w:t>输送至铜冶炼基地，物料转运、混矿等过程产生的粉尘经</w:t>
            </w:r>
            <w:r>
              <w:rPr>
                <w:rFonts w:hint="eastAsia"/>
                <w:color w:val="auto"/>
                <w:highlight w:val="none"/>
                <w:lang w:val="en-US" w:eastAsia="zh-CN"/>
              </w:rPr>
              <w:t>抽风系统</w:t>
            </w:r>
            <w:r>
              <w:rPr>
                <w:rFonts w:hint="eastAsia"/>
                <w:color w:val="auto"/>
                <w:highlight w:val="none"/>
              </w:rPr>
              <w:t>收集后经</w:t>
            </w:r>
            <w:r>
              <w:rPr>
                <w:rFonts w:hint="default" w:ascii="Times New Roman" w:hAnsi="Times New Roman" w:cs="Times New Roman"/>
                <w:color w:val="auto"/>
                <w:sz w:val="24"/>
                <w:szCs w:val="24"/>
                <w:highlight w:val="none"/>
                <w:lang w:val="en-US" w:eastAsia="zh-CN"/>
              </w:rPr>
              <w:t>塑烧板除尘器</w:t>
            </w:r>
            <w:r>
              <w:rPr>
                <w:rFonts w:hint="eastAsia"/>
                <w:color w:val="auto"/>
                <w:highlight w:val="none"/>
              </w:rPr>
              <w:t>收集后经15m高排气筒排放</w:t>
            </w:r>
            <w:r>
              <w:rPr>
                <w:rFonts w:hint="eastAsia"/>
                <w:color w:val="auto"/>
                <w:highlight w:val="none"/>
                <w:lang w:eastAsia="zh-CN"/>
              </w:rPr>
              <w:t>。</w:t>
            </w:r>
            <w:r>
              <w:rPr>
                <w:rFonts w:hint="eastAsia"/>
                <w:color w:val="auto"/>
                <w:highlight w:val="none"/>
                <w:lang w:val="en-US" w:eastAsia="zh-CN"/>
              </w:rPr>
              <w:t>裸露地面</w:t>
            </w:r>
            <w:r>
              <w:rPr>
                <w:color w:val="auto"/>
                <w:highlight w:val="none"/>
              </w:rPr>
              <w:t>少量矿粉散落，导致初期雨水水质较差，因此拟建项目需设置专门的收集池，初期雨水在水池内静置、沉淀后，水质污染物杂质大幅度减少。初期雨水经沉淀后作为洒水抑尘用水，不外排。</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根据《水运工程环境保护设计规范》（JTS149-2018），</w:t>
            </w:r>
            <w:r>
              <w:rPr>
                <w:rFonts w:hint="eastAsia" w:ascii="Times New Roman" w:hAnsi="Times New Roman"/>
                <w:color w:val="auto"/>
                <w:sz w:val="24"/>
                <w:szCs w:val="24"/>
                <w:highlight w:val="none"/>
              </w:rPr>
              <w:t>本项目径流雨水量参照矿石码头堆场</w:t>
            </w:r>
            <w:r>
              <w:rPr>
                <w:rFonts w:ascii="Times New Roman" w:hAnsi="Times New Roman"/>
                <w:color w:val="auto"/>
                <w:sz w:val="24"/>
                <w:szCs w:val="24"/>
                <w:highlight w:val="none"/>
              </w:rPr>
              <w:t>径流雨水量计算公式如下：</w:t>
            </w:r>
          </w:p>
          <w:p>
            <w:pPr>
              <w:spacing w:line="360" w:lineRule="auto"/>
              <w:ind w:firstLine="480" w:firstLineChars="200"/>
              <w:jc w:val="center"/>
              <w:rPr>
                <w:rFonts w:ascii="Times New Roman" w:hAnsi="Times New Roman"/>
                <w:i/>
                <w:color w:val="auto"/>
                <w:sz w:val="24"/>
                <w:szCs w:val="24"/>
                <w:highlight w:val="none"/>
              </w:rPr>
            </w:pPr>
            <w:r>
              <w:rPr>
                <w:rFonts w:ascii="Times New Roman" w:hAnsi="Times New Roman"/>
                <w:i/>
                <w:color w:val="auto"/>
                <w:sz w:val="24"/>
                <w:szCs w:val="24"/>
                <w:highlight w:val="none"/>
              </w:rPr>
              <w:t>V</w:t>
            </w:r>
            <w:r>
              <w:rPr>
                <w:rFonts w:ascii="Times New Roman" w:hAnsi="Times New Roman"/>
                <w:color w:val="auto"/>
                <w:sz w:val="24"/>
                <w:szCs w:val="24"/>
                <w:highlight w:val="none"/>
              </w:rPr>
              <w:t>=</w:t>
            </w:r>
            <w:r>
              <w:rPr>
                <w:rFonts w:ascii="Times New Roman" w:hAnsi="Times New Roman"/>
                <w:i/>
                <w:color w:val="auto"/>
                <w:sz w:val="24"/>
                <w:szCs w:val="24"/>
                <w:highlight w:val="none"/>
              </w:rPr>
              <w:t>ψHF</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其中：V—径流雨水量（m</w:t>
            </w:r>
            <w:r>
              <w:rPr>
                <w:rFonts w:ascii="Times New Roman" w:hAnsi="Times New Roman"/>
                <w:color w:val="auto"/>
                <w:sz w:val="24"/>
                <w:szCs w:val="24"/>
                <w:highlight w:val="none"/>
                <w:vertAlign w:val="superscript"/>
              </w:rPr>
              <w:t>3</w:t>
            </w:r>
            <w:r>
              <w:rPr>
                <w:rFonts w:ascii="Times New Roman" w:hAnsi="Times New Roman"/>
                <w:color w:val="auto"/>
                <w:sz w:val="24"/>
                <w:szCs w:val="24"/>
                <w:highlight w:val="none"/>
              </w:rPr>
              <w:t>）；</w:t>
            </w:r>
          </w:p>
          <w:p>
            <w:pPr>
              <w:spacing w:line="360" w:lineRule="auto"/>
              <w:ind w:firstLine="1200" w:firstLineChars="500"/>
              <w:rPr>
                <w:rFonts w:ascii="Times New Roman" w:hAnsi="Times New Roman"/>
                <w:color w:val="auto"/>
                <w:sz w:val="24"/>
                <w:szCs w:val="24"/>
                <w:highlight w:val="none"/>
              </w:rPr>
            </w:pPr>
            <w:r>
              <w:rPr>
                <w:rFonts w:ascii="Times New Roman" w:hAnsi="Times New Roman"/>
                <w:color w:val="auto"/>
                <w:sz w:val="24"/>
                <w:szCs w:val="24"/>
                <w:highlight w:val="none"/>
              </w:rPr>
              <w:t>Ψ—径流系数，径流系数根据铺面情况取0.1~0.4；类比同类工程，本项目</w:t>
            </w:r>
            <w:r>
              <w:rPr>
                <w:rFonts w:hint="eastAsia" w:ascii="Times New Roman" w:hAnsi="Times New Roman"/>
                <w:color w:val="auto"/>
                <w:sz w:val="24"/>
                <w:szCs w:val="24"/>
                <w:highlight w:val="none"/>
                <w:lang w:val="en-US" w:eastAsia="zh-CN"/>
              </w:rPr>
              <w:t>仓库屋面为钢结构</w:t>
            </w:r>
            <w:r>
              <w:rPr>
                <w:rFonts w:hint="eastAsia" w:ascii="Times New Roman" w:hAnsi="Times New Roman"/>
                <w:color w:val="auto"/>
                <w:sz w:val="24"/>
                <w:szCs w:val="24"/>
                <w:highlight w:val="none"/>
              </w:rPr>
              <w:t>，因此</w:t>
            </w:r>
            <w:r>
              <w:rPr>
                <w:rFonts w:ascii="Times New Roman" w:hAnsi="Times New Roman"/>
                <w:color w:val="auto"/>
                <w:sz w:val="24"/>
                <w:szCs w:val="24"/>
                <w:highlight w:val="none"/>
              </w:rPr>
              <w:t>径流系数取0.</w:t>
            </w:r>
            <w:r>
              <w:rPr>
                <w:rFonts w:hint="eastAsia" w:ascii="Times New Roman" w:hAnsi="Times New Roman"/>
                <w:color w:val="auto"/>
                <w:sz w:val="24"/>
                <w:szCs w:val="24"/>
                <w:highlight w:val="none"/>
                <w:lang w:val="en-US" w:eastAsia="zh-CN"/>
              </w:rPr>
              <w:t>8</w:t>
            </w:r>
            <w:r>
              <w:rPr>
                <w:rFonts w:ascii="Times New Roman" w:hAnsi="Times New Roman"/>
                <w:color w:val="auto"/>
                <w:sz w:val="24"/>
                <w:szCs w:val="24"/>
                <w:highlight w:val="none"/>
              </w:rPr>
              <w:t>5；</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H—多年最大日降雨深的最小值（m），同时满足不小于</w:t>
            </w:r>
            <w:r>
              <w:rPr>
                <w:rFonts w:hint="eastAsia" w:ascii="Times New Roman" w:hAnsi="Times New Roman"/>
                <w:color w:val="auto"/>
                <w:sz w:val="24"/>
                <w:szCs w:val="24"/>
                <w:highlight w:val="none"/>
                <w:lang w:val="en-US" w:eastAsia="zh-CN"/>
              </w:rPr>
              <w:t>B保</w:t>
            </w:r>
            <w:r>
              <w:rPr>
                <w:rFonts w:ascii="Times New Roman" w:hAnsi="Times New Roman"/>
                <w:color w:val="auto"/>
                <w:sz w:val="24"/>
                <w:szCs w:val="24"/>
                <w:highlight w:val="none"/>
              </w:rPr>
              <w:t>排水设计重现期的降雨厚度值；</w:t>
            </w:r>
            <w:r>
              <w:rPr>
                <w:rFonts w:hint="eastAsia" w:ascii="Times New Roman" w:hAnsi="Times New Roman"/>
                <w:color w:val="auto"/>
                <w:sz w:val="24"/>
                <w:szCs w:val="24"/>
                <w:highlight w:val="none"/>
              </w:rPr>
              <w:t>根据</w:t>
            </w:r>
            <w:r>
              <w:rPr>
                <w:rFonts w:hint="eastAsia" w:ascii="Times New Roman" w:hAnsi="Times New Roman"/>
                <w:color w:val="auto"/>
                <w:sz w:val="24"/>
                <w:szCs w:val="24"/>
                <w:highlight w:val="none"/>
                <w:lang w:val="en-US" w:eastAsia="zh-CN"/>
              </w:rPr>
              <w:t>蕉城区</w:t>
            </w:r>
            <w:r>
              <w:rPr>
                <w:rFonts w:hint="eastAsia" w:ascii="Times New Roman" w:hAnsi="Times New Roman"/>
                <w:color w:val="auto"/>
                <w:sz w:val="24"/>
                <w:szCs w:val="24"/>
                <w:highlight w:val="none"/>
              </w:rPr>
              <w:t>气象站提供的资料，该区域多年最大日降雨深最小值取</w:t>
            </w:r>
            <w:r>
              <w:rPr>
                <w:rFonts w:hint="eastAsia" w:ascii="Times New Roman" w:hAnsi="Times New Roman"/>
                <w:color w:val="auto"/>
                <w:sz w:val="24"/>
                <w:szCs w:val="24"/>
                <w:highlight w:val="none"/>
                <w:lang w:val="en-US" w:eastAsia="zh-CN"/>
              </w:rPr>
              <w:t>76</w:t>
            </w:r>
            <w:r>
              <w:rPr>
                <w:rFonts w:ascii="Times New Roman" w:hAnsi="Times New Roman"/>
                <w:color w:val="auto"/>
                <w:sz w:val="24"/>
                <w:szCs w:val="24"/>
                <w:highlight w:val="none"/>
              </w:rPr>
              <w:t>.6mm</w:t>
            </w:r>
            <w:r>
              <w:rPr>
                <w:rFonts w:hint="eastAsia" w:ascii="Times New Roman" w:hAnsi="Times New Roman"/>
                <w:color w:val="auto"/>
                <w:sz w:val="24"/>
                <w:szCs w:val="24"/>
                <w:highlight w:val="none"/>
              </w:rPr>
              <w:t>，该降雨深小于</w:t>
            </w:r>
            <w:r>
              <w:rPr>
                <w:rFonts w:hint="eastAsia" w:ascii="Times New Roman" w:hAnsi="Times New Roman"/>
                <w:color w:val="auto"/>
                <w:sz w:val="24"/>
                <w:szCs w:val="24"/>
                <w:highlight w:val="none"/>
                <w:lang w:val="en-US" w:eastAsia="zh-CN"/>
              </w:rPr>
              <w:t>蕉城</w:t>
            </w:r>
            <w:r>
              <w:rPr>
                <w:rFonts w:hint="eastAsia" w:ascii="Times New Roman" w:hAnsi="Times New Roman"/>
                <w:color w:val="auto"/>
                <w:sz w:val="24"/>
                <w:szCs w:val="24"/>
                <w:highlight w:val="none"/>
              </w:rPr>
              <w:t>地区</w:t>
            </w:r>
            <w:r>
              <w:rPr>
                <w:rFonts w:ascii="Times New Roman" w:hAnsi="Times New Roman"/>
                <w:color w:val="auto"/>
                <w:sz w:val="24"/>
                <w:szCs w:val="24"/>
                <w:highlight w:val="none"/>
              </w:rPr>
              <w:t>排水设计重现期</w:t>
            </w:r>
            <w:r>
              <w:rPr>
                <w:rFonts w:hint="eastAsia" w:ascii="Times New Roman" w:hAnsi="Times New Roman"/>
                <w:color w:val="auto"/>
                <w:sz w:val="24"/>
                <w:szCs w:val="24"/>
                <w:highlight w:val="none"/>
              </w:rPr>
              <w:t>降雨厚度值</w:t>
            </w:r>
            <w:r>
              <w:rPr>
                <w:rFonts w:hint="eastAsia" w:ascii="Times New Roman" w:hAnsi="Times New Roman"/>
                <w:color w:val="auto"/>
                <w:sz w:val="24"/>
                <w:szCs w:val="24"/>
                <w:highlight w:val="none"/>
                <w:lang w:val="en-US" w:eastAsia="zh-CN"/>
              </w:rPr>
              <w:t>100</w:t>
            </w:r>
            <w:r>
              <w:rPr>
                <w:rFonts w:hint="eastAsia" w:ascii="Times New Roman" w:hAnsi="Times New Roman"/>
                <w:color w:val="auto"/>
                <w:sz w:val="24"/>
                <w:szCs w:val="24"/>
                <w:highlight w:val="none"/>
              </w:rPr>
              <w:t>mm，因此最终取</w:t>
            </w:r>
            <w:r>
              <w:rPr>
                <w:rFonts w:hint="eastAsia" w:ascii="Times New Roman" w:hAnsi="Times New Roman"/>
                <w:color w:val="auto"/>
                <w:sz w:val="24"/>
                <w:szCs w:val="24"/>
                <w:highlight w:val="none"/>
                <w:lang w:val="en-US" w:eastAsia="zh-CN"/>
              </w:rPr>
              <w:t>100</w:t>
            </w:r>
            <w:r>
              <w:rPr>
                <w:rFonts w:hint="eastAsia" w:ascii="Times New Roman" w:hAnsi="Times New Roman"/>
                <w:color w:val="auto"/>
                <w:sz w:val="24"/>
                <w:szCs w:val="24"/>
                <w:highlight w:val="none"/>
              </w:rPr>
              <w:t>mm</w:t>
            </w:r>
            <w:r>
              <w:rPr>
                <w:rFonts w:ascii="Times New Roman" w:hAnsi="Times New Roman"/>
                <w:color w:val="auto"/>
                <w:sz w:val="24"/>
                <w:szCs w:val="24"/>
                <w:highlight w:val="none"/>
              </w:rPr>
              <w:t>。</w:t>
            </w:r>
            <w:r>
              <w:rPr>
                <w:rFonts w:hint="eastAsia" w:ascii="Times New Roman" w:hAnsi="Times New Roman"/>
                <w:color w:val="auto"/>
                <w:sz w:val="24"/>
                <w:szCs w:val="24"/>
                <w:highlight w:val="none"/>
              </w:rPr>
              <w:t>根据规范，初期雨水的降雨深度可取</w:t>
            </w:r>
            <w:r>
              <w:rPr>
                <w:rFonts w:ascii="Times New Roman" w:hAnsi="Times New Roman"/>
                <w:color w:val="auto"/>
                <w:sz w:val="24"/>
                <w:szCs w:val="24"/>
                <w:highlight w:val="none"/>
              </w:rPr>
              <w:t>0.01m。</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 xml:space="preserve">      F—汇水面积m</w:t>
            </w:r>
            <w:r>
              <w:rPr>
                <w:rFonts w:ascii="Times New Roman" w:hAnsi="Times New Roman"/>
                <w:color w:val="auto"/>
                <w:sz w:val="24"/>
                <w:szCs w:val="24"/>
                <w:highlight w:val="none"/>
                <w:vertAlign w:val="superscript"/>
              </w:rPr>
              <w:t>2</w:t>
            </w:r>
            <w:r>
              <w:rPr>
                <w:rFonts w:ascii="Times New Roman" w:hAnsi="Times New Roman"/>
                <w:color w:val="auto"/>
                <w:sz w:val="24"/>
                <w:szCs w:val="24"/>
                <w:highlight w:val="none"/>
              </w:rPr>
              <w:t>；</w:t>
            </w:r>
          </w:p>
          <w:p>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经计算，本工程不同区域雨水收集量详见</w:t>
            </w:r>
            <w:r>
              <w:rPr>
                <w:rFonts w:hint="eastAsia" w:ascii="Times New Roman" w:hAnsi="Times New Roman"/>
                <w:color w:val="auto"/>
                <w:sz w:val="24"/>
                <w:szCs w:val="24"/>
                <w:highlight w:val="none"/>
              </w:rPr>
              <w:t>下表</w:t>
            </w:r>
            <w:r>
              <w:rPr>
                <w:rFonts w:ascii="Times New Roman" w:hAnsi="Times New Roman"/>
                <w:color w:val="auto"/>
                <w:sz w:val="24"/>
                <w:szCs w:val="24"/>
                <w:highlight w:val="none"/>
              </w:rPr>
              <w:t>。</w:t>
            </w:r>
          </w:p>
          <w:p>
            <w:pPr>
              <w:pStyle w:val="36"/>
              <w:rPr>
                <w:rFonts w:ascii="Times New Roman" w:hAnsi="Times New Roman" w:eastAsia="黑体"/>
                <w:b/>
                <w:color w:val="auto"/>
                <w:sz w:val="24"/>
                <w:highlight w:val="none"/>
              </w:rPr>
            </w:pPr>
            <w:r>
              <w:rPr>
                <w:rFonts w:ascii="Times New Roman" w:hAnsi="Times New Roman" w:eastAsia="黑体"/>
                <w:b/>
                <w:color w:val="auto"/>
                <w:sz w:val="24"/>
                <w:highlight w:val="none"/>
              </w:rPr>
              <w:t>表</w:t>
            </w:r>
            <w:r>
              <w:rPr>
                <w:rFonts w:hint="eastAsia" w:ascii="Times New Roman" w:hAnsi="Times New Roman" w:eastAsia="黑体"/>
                <w:b/>
                <w:color w:val="auto"/>
                <w:sz w:val="24"/>
                <w:highlight w:val="none"/>
              </w:rPr>
              <w:t xml:space="preserve"> 4</w:t>
            </w:r>
            <w:r>
              <w:rPr>
                <w:rFonts w:ascii="Times New Roman" w:hAnsi="Times New Roman" w:eastAsia="黑体"/>
                <w:b/>
                <w:color w:val="auto"/>
                <w:sz w:val="24"/>
                <w:highlight w:val="none"/>
              </w:rPr>
              <w:t>.</w:t>
            </w:r>
            <w:r>
              <w:rPr>
                <w:rFonts w:hint="eastAsia" w:ascii="Times New Roman" w:hAnsi="Times New Roman" w:eastAsia="黑体"/>
                <w:b/>
                <w:color w:val="auto"/>
                <w:sz w:val="24"/>
                <w:highlight w:val="none"/>
                <w:lang w:val="en-US" w:eastAsia="zh-CN"/>
              </w:rPr>
              <w:t>2.1</w:t>
            </w:r>
            <w:r>
              <w:rPr>
                <w:rFonts w:hint="eastAsia" w:eastAsia="黑体"/>
                <w:b/>
                <w:color w:val="auto"/>
                <w:sz w:val="24"/>
                <w:highlight w:val="none"/>
                <w:lang w:val="en-US" w:eastAsia="zh-CN"/>
              </w:rPr>
              <w:t>5</w:t>
            </w:r>
            <w:r>
              <w:rPr>
                <w:rFonts w:hint="eastAsia" w:ascii="Times New Roman" w:hAnsi="Times New Roman" w:eastAsia="黑体"/>
                <w:b/>
                <w:color w:val="auto"/>
                <w:sz w:val="24"/>
                <w:highlight w:val="none"/>
              </w:rPr>
              <w:t xml:space="preserve"> </w:t>
            </w:r>
            <w:r>
              <w:rPr>
                <w:rFonts w:ascii="Times New Roman" w:hAnsi="Times New Roman" w:eastAsia="黑体"/>
                <w:b/>
                <w:color w:val="auto"/>
                <w:sz w:val="24"/>
                <w:highlight w:val="none"/>
              </w:rPr>
              <w:t xml:space="preserve"> </w:t>
            </w:r>
            <w:r>
              <w:rPr>
                <w:rFonts w:hint="eastAsia" w:ascii="Times New Roman" w:hAnsi="Times New Roman" w:eastAsia="黑体"/>
                <w:b/>
                <w:color w:val="auto"/>
                <w:sz w:val="24"/>
                <w:highlight w:val="none"/>
                <w:lang w:val="en-US" w:eastAsia="zh-CN"/>
              </w:rPr>
              <w:t>本项目初期雨水</w:t>
            </w:r>
            <w:r>
              <w:rPr>
                <w:rFonts w:ascii="Times New Roman" w:hAnsi="Times New Roman" w:eastAsia="黑体"/>
                <w:b/>
                <w:color w:val="auto"/>
                <w:sz w:val="24"/>
                <w:highlight w:val="none"/>
              </w:rPr>
              <w:t>收集量一览表</w:t>
            </w:r>
          </w:p>
          <w:tbl>
            <w:tblPr>
              <w:tblStyle w:val="2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7"/>
              <w:gridCol w:w="1708"/>
              <w:gridCol w:w="1266"/>
              <w:gridCol w:w="1050"/>
              <w:gridCol w:w="1060"/>
              <w:gridCol w:w="1062"/>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823" w:type="pct"/>
                  <w:noWrap/>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位置</w:t>
                  </w:r>
                </w:p>
              </w:tc>
              <w:tc>
                <w:tcPr>
                  <w:tcW w:w="949" w:type="pct"/>
                  <w:noWrap/>
                  <w:vAlign w:val="center"/>
                </w:tcPr>
                <w:p>
                  <w:pPr>
                    <w:adjustRightInd w:val="0"/>
                    <w:snapToGrid w:val="0"/>
                    <w:jc w:val="center"/>
                    <w:rPr>
                      <w:rFonts w:ascii="Times New Roman" w:hAnsi="Times New Roman"/>
                      <w:snapToGrid w:val="0"/>
                      <w:color w:val="auto"/>
                      <w:szCs w:val="21"/>
                      <w:highlight w:val="none"/>
                    </w:rPr>
                  </w:pPr>
                  <w:r>
                    <w:rPr>
                      <w:rFonts w:hint="eastAsia"/>
                      <w:snapToGrid w:val="0"/>
                      <w:color w:val="auto"/>
                      <w:szCs w:val="21"/>
                      <w:highlight w:val="none"/>
                      <w:lang w:val="en-US" w:eastAsia="zh-CN"/>
                    </w:rPr>
                    <w:t>裸露</w:t>
                  </w:r>
                  <w:r>
                    <w:rPr>
                      <w:rFonts w:hint="eastAsia" w:ascii="Times New Roman" w:hAnsi="Times New Roman"/>
                      <w:snapToGrid w:val="0"/>
                      <w:color w:val="auto"/>
                      <w:szCs w:val="21"/>
                      <w:highlight w:val="none"/>
                    </w:rPr>
                    <w:t>面积（m</w:t>
                  </w:r>
                  <w:r>
                    <w:rPr>
                      <w:rFonts w:hint="eastAsia" w:ascii="Times New Roman" w:hAnsi="Times New Roman"/>
                      <w:snapToGrid w:val="0"/>
                      <w:color w:val="auto"/>
                      <w:szCs w:val="21"/>
                      <w:highlight w:val="none"/>
                      <w:vertAlign w:val="superscript"/>
                    </w:rPr>
                    <w:t>2</w:t>
                  </w:r>
                  <w:r>
                    <w:rPr>
                      <w:rFonts w:hint="eastAsia" w:ascii="Times New Roman" w:hAnsi="Times New Roman"/>
                      <w:snapToGrid w:val="0"/>
                      <w:color w:val="auto"/>
                      <w:szCs w:val="21"/>
                      <w:highlight w:val="none"/>
                    </w:rPr>
                    <w:t>）</w:t>
                  </w:r>
                </w:p>
              </w:tc>
              <w:tc>
                <w:tcPr>
                  <w:tcW w:w="733" w:type="pct"/>
                  <w:noWrap/>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面层类型</w:t>
                  </w:r>
                </w:p>
              </w:tc>
              <w:tc>
                <w:tcPr>
                  <w:tcW w:w="616" w:type="pct"/>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径流系数</w:t>
                  </w:r>
                </w:p>
              </w:tc>
              <w:tc>
                <w:tcPr>
                  <w:tcW w:w="622" w:type="pct"/>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降雨厚度（</w:t>
                  </w:r>
                  <w:r>
                    <w:rPr>
                      <w:rFonts w:ascii="Times New Roman" w:hAnsi="Times New Roman"/>
                      <w:snapToGrid w:val="0"/>
                      <w:color w:val="auto"/>
                      <w:szCs w:val="21"/>
                      <w:highlight w:val="none"/>
                    </w:rPr>
                    <w:t>mm</w:t>
                  </w:r>
                  <w:r>
                    <w:rPr>
                      <w:rFonts w:hint="eastAsia" w:ascii="Times New Roman" w:hAnsi="Times New Roman"/>
                      <w:snapToGrid w:val="0"/>
                      <w:color w:val="auto"/>
                      <w:szCs w:val="21"/>
                      <w:highlight w:val="none"/>
                    </w:rPr>
                    <w:t>）</w:t>
                  </w:r>
                </w:p>
              </w:tc>
              <w:tc>
                <w:tcPr>
                  <w:tcW w:w="623" w:type="pct"/>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雨水类型</w:t>
                  </w:r>
                </w:p>
              </w:tc>
              <w:tc>
                <w:tcPr>
                  <w:tcW w:w="631" w:type="pct"/>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雨水收集量（</w:t>
                  </w:r>
                  <w:r>
                    <w:rPr>
                      <w:rFonts w:ascii="Times New Roman" w:hAnsi="Times New Roman"/>
                      <w:snapToGrid w:val="0"/>
                      <w:color w:val="auto"/>
                      <w:szCs w:val="21"/>
                      <w:highlight w:val="none"/>
                    </w:rPr>
                    <w:t>m</w:t>
                  </w:r>
                  <w:r>
                    <w:rPr>
                      <w:rFonts w:ascii="Times New Roman" w:hAnsi="Times New Roman"/>
                      <w:snapToGrid w:val="0"/>
                      <w:color w:val="auto"/>
                      <w:szCs w:val="21"/>
                      <w:highlight w:val="none"/>
                      <w:vertAlign w:val="superscript"/>
                    </w:rPr>
                    <w:t>3</w:t>
                  </w:r>
                  <w:r>
                    <w:rPr>
                      <w:rFonts w:hint="eastAsia" w:ascii="Times New Roman" w:hAnsi="Times New Roman"/>
                      <w:snapToGrid w:val="0"/>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23" w:type="pct"/>
                  <w:noWrap/>
                  <w:vAlign w:val="center"/>
                </w:tcPr>
                <w:p>
                  <w:pPr>
                    <w:adjustRightInd w:val="0"/>
                    <w:snapToGrid w:val="0"/>
                    <w:jc w:val="center"/>
                    <w:rPr>
                      <w:rFonts w:hint="eastAsia" w:ascii="Times New Roman" w:hAnsi="Times New Roman" w:eastAsia="宋体"/>
                      <w:snapToGrid w:val="0"/>
                      <w:color w:val="auto"/>
                      <w:szCs w:val="21"/>
                      <w:highlight w:val="none"/>
                      <w:lang w:eastAsia="zh-CN"/>
                    </w:rPr>
                  </w:pPr>
                  <w:r>
                    <w:rPr>
                      <w:rFonts w:hint="eastAsia" w:ascii="Times New Roman" w:hAnsi="Times New Roman"/>
                      <w:snapToGrid w:val="0"/>
                      <w:color w:val="auto"/>
                      <w:szCs w:val="21"/>
                      <w:highlight w:val="none"/>
                      <w:lang w:val="en-US" w:eastAsia="zh-CN"/>
                    </w:rPr>
                    <w:t>项目区</w:t>
                  </w:r>
                </w:p>
              </w:tc>
              <w:tc>
                <w:tcPr>
                  <w:tcW w:w="949" w:type="pct"/>
                  <w:noWrap/>
                  <w:vAlign w:val="center"/>
                </w:tcPr>
                <w:p>
                  <w:pPr>
                    <w:adjustRightInd w:val="0"/>
                    <w:snapToGrid w:val="0"/>
                    <w:jc w:val="center"/>
                    <w:rPr>
                      <w:rFonts w:hint="default" w:ascii="Times New Roman" w:hAnsi="Times New Roman" w:eastAsia="宋体"/>
                      <w:snapToGrid w:val="0"/>
                      <w:color w:val="auto"/>
                      <w:szCs w:val="21"/>
                      <w:highlight w:val="none"/>
                      <w:lang w:val="en-US" w:eastAsia="zh-CN"/>
                    </w:rPr>
                  </w:pPr>
                  <w:r>
                    <w:rPr>
                      <w:rFonts w:hint="eastAsia"/>
                      <w:snapToGrid w:val="0"/>
                      <w:color w:val="auto"/>
                      <w:szCs w:val="21"/>
                      <w:highlight w:val="none"/>
                      <w:lang w:val="en-US" w:eastAsia="zh-CN"/>
                    </w:rPr>
                    <w:t>28990</w:t>
                  </w:r>
                </w:p>
              </w:tc>
              <w:tc>
                <w:tcPr>
                  <w:tcW w:w="733" w:type="pct"/>
                  <w:noWrap/>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lang w:val="en-US" w:eastAsia="zh-CN"/>
                    </w:rPr>
                    <w:t>不锈钢</w:t>
                  </w:r>
                  <w:r>
                    <w:rPr>
                      <w:rFonts w:ascii="Times New Roman" w:hAnsi="Times New Roman"/>
                      <w:snapToGrid w:val="0"/>
                      <w:color w:val="auto"/>
                      <w:szCs w:val="21"/>
                      <w:highlight w:val="none"/>
                    </w:rPr>
                    <w:t>面层</w:t>
                  </w:r>
                </w:p>
              </w:tc>
              <w:tc>
                <w:tcPr>
                  <w:tcW w:w="616" w:type="pct"/>
                  <w:vAlign w:val="center"/>
                </w:tcPr>
                <w:p>
                  <w:pPr>
                    <w:adjustRightInd w:val="0"/>
                    <w:snapToGrid w:val="0"/>
                    <w:jc w:val="center"/>
                    <w:rPr>
                      <w:rFonts w:ascii="Times New Roman" w:hAnsi="Times New Roman"/>
                      <w:snapToGrid w:val="0"/>
                      <w:color w:val="auto"/>
                      <w:szCs w:val="21"/>
                      <w:highlight w:val="none"/>
                    </w:rPr>
                  </w:pPr>
                  <w:r>
                    <w:rPr>
                      <w:rFonts w:ascii="Times New Roman" w:hAnsi="Times New Roman"/>
                      <w:snapToGrid w:val="0"/>
                      <w:color w:val="auto"/>
                      <w:szCs w:val="21"/>
                      <w:highlight w:val="none"/>
                    </w:rPr>
                    <w:t>0.</w:t>
                  </w:r>
                  <w:r>
                    <w:rPr>
                      <w:rFonts w:hint="eastAsia" w:ascii="Times New Roman" w:hAnsi="Times New Roman"/>
                      <w:snapToGrid w:val="0"/>
                      <w:color w:val="auto"/>
                      <w:szCs w:val="21"/>
                      <w:highlight w:val="none"/>
                      <w:lang w:val="en-US" w:eastAsia="zh-CN"/>
                    </w:rPr>
                    <w:t>8</w:t>
                  </w:r>
                  <w:r>
                    <w:rPr>
                      <w:rFonts w:ascii="Times New Roman" w:hAnsi="Times New Roman"/>
                      <w:snapToGrid w:val="0"/>
                      <w:color w:val="auto"/>
                      <w:szCs w:val="21"/>
                      <w:highlight w:val="none"/>
                    </w:rPr>
                    <w:t>5</w:t>
                  </w:r>
                </w:p>
              </w:tc>
              <w:tc>
                <w:tcPr>
                  <w:tcW w:w="622" w:type="pct"/>
                  <w:noWrap/>
                  <w:vAlign w:val="center"/>
                </w:tcPr>
                <w:p>
                  <w:pPr>
                    <w:adjustRightInd w:val="0"/>
                    <w:snapToGrid w:val="0"/>
                    <w:jc w:val="center"/>
                    <w:rPr>
                      <w:rFonts w:hint="default" w:ascii="Times New Roman" w:hAnsi="Times New Roman" w:eastAsia="宋体"/>
                      <w:snapToGrid w:val="0"/>
                      <w:color w:val="auto"/>
                      <w:szCs w:val="21"/>
                      <w:highlight w:val="none"/>
                      <w:lang w:val="en-US" w:eastAsia="zh-CN"/>
                    </w:rPr>
                  </w:pPr>
                  <w:r>
                    <w:rPr>
                      <w:rFonts w:hint="eastAsia" w:ascii="Times New Roman" w:hAnsi="Times New Roman"/>
                      <w:snapToGrid w:val="0"/>
                      <w:color w:val="auto"/>
                      <w:szCs w:val="21"/>
                      <w:highlight w:val="none"/>
                      <w:lang w:val="en-US" w:eastAsia="zh-CN"/>
                    </w:rPr>
                    <w:t>100</w:t>
                  </w:r>
                </w:p>
              </w:tc>
              <w:tc>
                <w:tcPr>
                  <w:tcW w:w="623" w:type="pct"/>
                  <w:noWrap/>
                  <w:vAlign w:val="bottom"/>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堆场径流</w:t>
                  </w:r>
                </w:p>
              </w:tc>
              <w:tc>
                <w:tcPr>
                  <w:tcW w:w="631" w:type="pct"/>
                  <w:noWrap/>
                  <w:vAlign w:val="bottom"/>
                </w:tcPr>
                <w:p>
                  <w:pPr>
                    <w:adjustRightInd w:val="0"/>
                    <w:snapToGrid w:val="0"/>
                    <w:jc w:val="center"/>
                    <w:rPr>
                      <w:rFonts w:hint="default" w:ascii="Times New Roman" w:hAnsi="Times New Roman" w:eastAsia="宋体"/>
                      <w:snapToGrid w:val="0"/>
                      <w:color w:val="auto"/>
                      <w:szCs w:val="21"/>
                      <w:highlight w:val="none"/>
                      <w:lang w:val="en-US" w:eastAsia="zh-CN"/>
                    </w:rPr>
                  </w:pPr>
                  <w:r>
                    <w:rPr>
                      <w:rFonts w:hint="eastAsia"/>
                      <w:snapToGrid w:val="0"/>
                      <w:color w:val="auto"/>
                      <w:szCs w:val="21"/>
                      <w:highlight w:val="none"/>
                      <w:lang w:val="en-US" w:eastAsia="zh-CN"/>
                    </w:rPr>
                    <w:t>246.415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823" w:type="pct"/>
                  <w:noWrap/>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总计</w:t>
                  </w:r>
                </w:p>
              </w:tc>
              <w:tc>
                <w:tcPr>
                  <w:tcW w:w="4176" w:type="pct"/>
                  <w:gridSpan w:val="6"/>
                  <w:noWrap/>
                  <w:vAlign w:val="center"/>
                </w:tcPr>
                <w:p>
                  <w:pPr>
                    <w:adjustRightInd w:val="0"/>
                    <w:snapToGrid w:val="0"/>
                    <w:jc w:val="center"/>
                    <w:rPr>
                      <w:rFonts w:ascii="Times New Roman" w:hAnsi="Times New Roman"/>
                      <w:snapToGrid w:val="0"/>
                      <w:color w:val="auto"/>
                      <w:szCs w:val="21"/>
                      <w:highlight w:val="none"/>
                    </w:rPr>
                  </w:pPr>
                  <w:r>
                    <w:rPr>
                      <w:rFonts w:hint="eastAsia" w:ascii="Times New Roman" w:hAnsi="Times New Roman"/>
                      <w:snapToGrid w:val="0"/>
                      <w:color w:val="auto"/>
                      <w:szCs w:val="21"/>
                      <w:highlight w:val="none"/>
                    </w:rPr>
                    <w:t>雨水收集总量为</w:t>
                  </w:r>
                  <w:r>
                    <w:rPr>
                      <w:rFonts w:hint="eastAsia"/>
                      <w:snapToGrid w:val="0"/>
                      <w:color w:val="auto"/>
                      <w:szCs w:val="21"/>
                      <w:highlight w:val="none"/>
                      <w:lang w:val="en-US" w:eastAsia="zh-CN"/>
                    </w:rPr>
                    <w:t>246.415</w:t>
                  </w:r>
                  <w:r>
                    <w:rPr>
                      <w:rFonts w:hint="eastAsia" w:ascii="Times New Roman" w:hAnsi="Times New Roman"/>
                      <w:snapToGrid w:val="0"/>
                      <w:color w:val="auto"/>
                      <w:szCs w:val="21"/>
                      <w:highlight w:val="none"/>
                    </w:rPr>
                    <w:t>m</w:t>
                  </w:r>
                  <w:r>
                    <w:rPr>
                      <w:rFonts w:hint="eastAsia" w:ascii="Times New Roman" w:hAnsi="Times New Roman"/>
                      <w:snapToGrid w:val="0"/>
                      <w:color w:val="auto"/>
                      <w:szCs w:val="21"/>
                      <w:highlight w:val="none"/>
                      <w:vertAlign w:val="superscript"/>
                    </w:rPr>
                    <w:t>3</w:t>
                  </w:r>
                </w:p>
              </w:tc>
            </w:tr>
          </w:tbl>
          <w:p>
            <w:pPr>
              <w:pStyle w:val="32"/>
              <w:ind w:firstLine="480"/>
              <w:rPr>
                <w:color w:val="auto"/>
                <w:highlight w:val="none"/>
              </w:rPr>
            </w:pPr>
            <w:r>
              <w:rPr>
                <w:rFonts w:ascii="Times New Roman" w:hAnsi="Times New Roman"/>
                <w:color w:val="auto"/>
                <w:sz w:val="24"/>
                <w:szCs w:val="24"/>
                <w:highlight w:val="none"/>
              </w:rPr>
              <w:t>根据计算结果，初期雨水量约为</w:t>
            </w:r>
            <w:r>
              <w:rPr>
                <w:rFonts w:hint="eastAsia" w:ascii="Times New Roman" w:hAnsi="Times New Roman"/>
                <w:color w:val="auto"/>
                <w:sz w:val="24"/>
                <w:szCs w:val="24"/>
                <w:highlight w:val="none"/>
                <w:lang w:val="en-US" w:eastAsia="zh-CN"/>
              </w:rPr>
              <w:t>246.415</w:t>
            </w:r>
            <w:r>
              <w:rPr>
                <w:rFonts w:ascii="Times New Roman" w:hAnsi="Times New Roman"/>
                <w:color w:val="auto"/>
                <w:sz w:val="24"/>
                <w:szCs w:val="24"/>
                <w:highlight w:val="none"/>
              </w:rPr>
              <w:t>m</w:t>
            </w:r>
            <w:r>
              <w:rPr>
                <w:rFonts w:ascii="Times New Roman" w:hAnsi="Times New Roman"/>
                <w:color w:val="auto"/>
                <w:sz w:val="24"/>
                <w:szCs w:val="24"/>
                <w:highlight w:val="none"/>
                <w:vertAlign w:val="superscript"/>
              </w:rPr>
              <w:t>3</w:t>
            </w:r>
            <w:r>
              <w:rPr>
                <w:rFonts w:ascii="Times New Roman" w:hAnsi="Times New Roman"/>
                <w:color w:val="auto"/>
                <w:sz w:val="24"/>
                <w:szCs w:val="24"/>
                <w:highlight w:val="none"/>
              </w:rPr>
              <w:t>/次。本工程初期雨水全部收集进入</w:t>
            </w:r>
            <w:r>
              <w:rPr>
                <w:rFonts w:hint="eastAsia" w:ascii="Times New Roman" w:hAnsi="Times New Roman"/>
                <w:color w:val="auto"/>
                <w:sz w:val="24"/>
                <w:szCs w:val="24"/>
                <w:highlight w:val="none"/>
                <w:lang w:val="en-US" w:eastAsia="zh-CN"/>
              </w:rPr>
              <w:t>初期雨水池沉淀</w:t>
            </w:r>
            <w:r>
              <w:rPr>
                <w:rFonts w:ascii="Times New Roman" w:hAnsi="Times New Roman"/>
                <w:color w:val="auto"/>
                <w:sz w:val="24"/>
                <w:szCs w:val="24"/>
                <w:highlight w:val="none"/>
              </w:rPr>
              <w:t>后回用</w:t>
            </w:r>
            <w:r>
              <w:rPr>
                <w:rFonts w:hint="eastAsia" w:ascii="Times New Roman" w:hAnsi="Times New Roman"/>
                <w:color w:val="auto"/>
                <w:sz w:val="24"/>
                <w:szCs w:val="24"/>
                <w:highlight w:val="none"/>
                <w:lang w:val="en-US" w:eastAsia="zh-CN"/>
              </w:rPr>
              <w:t>于</w:t>
            </w:r>
            <w:r>
              <w:rPr>
                <w:rFonts w:hint="eastAsia" w:ascii="Times New Roman" w:hAnsi="Times New Roman"/>
                <w:color w:val="auto"/>
                <w:sz w:val="24"/>
                <w:szCs w:val="24"/>
                <w:highlight w:val="none"/>
              </w:rPr>
              <w:t>地面冲洗</w:t>
            </w:r>
            <w:r>
              <w:rPr>
                <w:rFonts w:hint="eastAsia" w:ascii="Times New Roman" w:hAnsi="Times New Roman"/>
                <w:color w:val="auto"/>
                <w:sz w:val="24"/>
                <w:szCs w:val="24"/>
                <w:highlight w:val="none"/>
                <w:lang w:val="en-US" w:eastAsia="zh-CN"/>
              </w:rPr>
              <w:t>和</w:t>
            </w:r>
            <w:r>
              <w:rPr>
                <w:rFonts w:ascii="Times New Roman" w:hAnsi="Times New Roman"/>
                <w:color w:val="auto"/>
                <w:sz w:val="24"/>
                <w:szCs w:val="24"/>
                <w:highlight w:val="none"/>
              </w:rPr>
              <w:t>堆场喷淋，不排放</w:t>
            </w:r>
            <w:r>
              <w:rPr>
                <w:color w:val="auto"/>
                <w:highlight w:val="none"/>
              </w:rPr>
              <w:t>。</w:t>
            </w:r>
          </w:p>
          <w:p>
            <w:pPr>
              <w:pStyle w:val="32"/>
              <w:ind w:firstLine="480"/>
              <w:rPr>
                <w:color w:val="auto"/>
                <w:highlight w:val="none"/>
              </w:rPr>
            </w:pPr>
            <w:r>
              <w:rPr>
                <w:color w:val="auto"/>
                <w:highlight w:val="none"/>
              </w:rPr>
              <w:t>拟建项目</w:t>
            </w:r>
            <w:r>
              <w:rPr>
                <w:rFonts w:hint="eastAsia"/>
                <w:color w:val="auto"/>
                <w:highlight w:val="none"/>
              </w:rPr>
              <w:t>拟</w:t>
            </w:r>
            <w:r>
              <w:rPr>
                <w:color w:val="auto"/>
                <w:highlight w:val="none"/>
              </w:rPr>
              <w:t>建设1座有效容积</w:t>
            </w:r>
            <w:r>
              <w:rPr>
                <w:rFonts w:hint="eastAsia"/>
                <w:color w:val="auto"/>
                <w:highlight w:val="none"/>
                <w:lang w:val="en-US" w:eastAsia="zh-CN"/>
              </w:rPr>
              <w:t>400</w:t>
            </w:r>
            <w:r>
              <w:rPr>
                <w:color w:val="auto"/>
                <w:highlight w:val="none"/>
              </w:rPr>
              <w:t>m</w:t>
            </w:r>
            <w:r>
              <w:rPr>
                <w:color w:val="auto"/>
                <w:highlight w:val="none"/>
                <w:vertAlign w:val="superscript"/>
              </w:rPr>
              <w:t>3</w:t>
            </w:r>
            <w:r>
              <w:rPr>
                <w:color w:val="auto"/>
                <w:highlight w:val="none"/>
              </w:rPr>
              <w:t>的初期雨水收集池</w:t>
            </w:r>
            <w:r>
              <w:rPr>
                <w:rFonts w:hint="eastAsia"/>
                <w:color w:val="auto"/>
                <w:highlight w:val="none"/>
                <w:lang w:eastAsia="zh-CN"/>
              </w:rPr>
              <w:t>，完全可容纳项目产生的初期雨水</w:t>
            </w:r>
            <w:r>
              <w:rPr>
                <w:color w:val="auto"/>
                <w:highlight w:val="none"/>
              </w:rPr>
              <w:t>。收集的初期雨水经沉淀后</w:t>
            </w:r>
            <w:r>
              <w:rPr>
                <w:rFonts w:hint="eastAsia"/>
                <w:color w:val="auto"/>
                <w:highlight w:val="none"/>
              </w:rPr>
              <w:t>回用于车辆清洗、地面冲洗用水、干雾抑尘用水</w:t>
            </w:r>
            <w:r>
              <w:rPr>
                <w:color w:val="auto"/>
                <w:highlight w:val="none"/>
              </w:rPr>
              <w:t>，不外排。根据《有色金属工业环境保护工程设计规范》（GB50988-2014）的相关要求，收集的初期雨水应当在5日内全部利用。</w:t>
            </w:r>
          </w:p>
          <w:p>
            <w:pPr>
              <w:pStyle w:val="32"/>
              <w:ind w:firstLine="480"/>
              <w:rPr>
                <w:color w:val="auto"/>
                <w:highlight w:val="none"/>
              </w:rPr>
            </w:pPr>
            <w:r>
              <w:rPr>
                <w:rFonts w:hint="eastAsia"/>
                <w:color w:val="auto"/>
                <w:highlight w:val="none"/>
              </w:rPr>
              <w:t>本项目废水污染源源强核算结果详见表4.2.1</w:t>
            </w:r>
            <w:r>
              <w:rPr>
                <w:rFonts w:hint="eastAsia"/>
                <w:color w:val="auto"/>
                <w:highlight w:val="none"/>
                <w:lang w:val="en-US" w:eastAsia="zh-CN"/>
              </w:rPr>
              <w:t>6</w:t>
            </w:r>
            <w:r>
              <w:rPr>
                <w:rFonts w:hint="eastAsia"/>
                <w:color w:val="auto"/>
                <w:highlight w:val="none"/>
              </w:rPr>
              <w:t>，最终排放量详见表4.2.1</w:t>
            </w:r>
            <w:r>
              <w:rPr>
                <w:rFonts w:hint="eastAsia"/>
                <w:color w:val="auto"/>
                <w:highlight w:val="none"/>
                <w:lang w:val="en-US" w:eastAsia="zh-CN"/>
              </w:rPr>
              <w:t>7</w:t>
            </w:r>
            <w:r>
              <w:rPr>
                <w:rFonts w:hint="eastAsia"/>
                <w:color w:val="auto"/>
                <w:highlight w:val="none"/>
              </w:rPr>
              <w:t>。</w:t>
            </w:r>
          </w:p>
        </w:tc>
      </w:tr>
    </w:tbl>
    <w:p>
      <w:pPr>
        <w:rPr>
          <w:rFonts w:hint="eastAsia" w:ascii="黑体" w:hAnsi="黑体" w:eastAsia="黑体"/>
          <w:snapToGrid w:val="0"/>
          <w:color w:val="auto"/>
          <w:sz w:val="30"/>
          <w:szCs w:val="30"/>
          <w:highlight w:val="none"/>
        </w:rPr>
      </w:pPr>
    </w:p>
    <w:p>
      <w:pPr>
        <w:rPr>
          <w:rFonts w:hint="eastAsia" w:ascii="黑体" w:hAnsi="黑体" w:eastAsia="黑体"/>
          <w:snapToGrid w:val="0"/>
          <w:color w:val="auto"/>
          <w:sz w:val="30"/>
          <w:szCs w:val="30"/>
          <w:highlight w:val="none"/>
        </w:rPr>
        <w:sectPr>
          <w:pgSz w:w="11906" w:h="16838"/>
          <w:pgMar w:top="1417" w:right="1304" w:bottom="1304" w:left="1304" w:header="851" w:footer="992" w:gutter="0"/>
          <w:cols w:space="425" w:num="1"/>
          <w:docGrid w:type="lines" w:linePitch="312" w:charSpace="0"/>
        </w:sectPr>
      </w:pPr>
    </w:p>
    <w:p>
      <w:pPr>
        <w:pStyle w:val="36"/>
        <w:rPr>
          <w:color w:val="auto"/>
          <w:highlight w:val="none"/>
        </w:rPr>
      </w:pPr>
      <w:r>
        <w:rPr>
          <w:rFonts w:hint="eastAsia"/>
          <w:color w:val="auto"/>
          <w:highlight w:val="none"/>
        </w:rPr>
        <w:t>表4.2.1</w:t>
      </w:r>
      <w:r>
        <w:rPr>
          <w:rFonts w:hint="eastAsia"/>
          <w:color w:val="auto"/>
          <w:highlight w:val="none"/>
          <w:lang w:val="en-US" w:eastAsia="zh-CN"/>
        </w:rPr>
        <w:t>6</w:t>
      </w:r>
      <w:r>
        <w:rPr>
          <w:rFonts w:hint="eastAsia"/>
          <w:color w:val="auto"/>
          <w:highlight w:val="none"/>
        </w:rPr>
        <w:t xml:space="preserve">  项目废水污染源源强核算结果及相关参数一览表</w:t>
      </w:r>
    </w:p>
    <w:tbl>
      <w:tblPr>
        <w:tblStyle w:val="20"/>
        <w:tblW w:w="0" w:type="auto"/>
        <w:tblInd w:w="0" w:type="dxa"/>
        <w:tblLayout w:type="autofit"/>
        <w:tblCellMar>
          <w:top w:w="0" w:type="dxa"/>
          <w:left w:w="108" w:type="dxa"/>
          <w:bottom w:w="0" w:type="dxa"/>
          <w:right w:w="108" w:type="dxa"/>
        </w:tblCellMar>
      </w:tblPr>
      <w:tblGrid>
        <w:gridCol w:w="570"/>
        <w:gridCol w:w="763"/>
        <w:gridCol w:w="570"/>
        <w:gridCol w:w="851"/>
        <w:gridCol w:w="570"/>
        <w:gridCol w:w="911"/>
        <w:gridCol w:w="923"/>
        <w:gridCol w:w="824"/>
        <w:gridCol w:w="522"/>
        <w:gridCol w:w="546"/>
        <w:gridCol w:w="667"/>
        <w:gridCol w:w="619"/>
        <w:gridCol w:w="911"/>
        <w:gridCol w:w="923"/>
        <w:gridCol w:w="824"/>
        <w:gridCol w:w="932"/>
        <w:gridCol w:w="1580"/>
        <w:gridCol w:w="827"/>
      </w:tblGrid>
      <w:tr>
        <w:tblPrEx>
          <w:tblCellMar>
            <w:top w:w="0" w:type="dxa"/>
            <w:left w:w="108" w:type="dxa"/>
            <w:bottom w:w="0" w:type="dxa"/>
            <w:right w:w="108" w:type="dxa"/>
          </w:tblCellMar>
        </w:tblPrEx>
        <w:trPr>
          <w:trHeight w:val="300"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color w:val="auto"/>
                <w:kern w:val="0"/>
                <w:szCs w:val="21"/>
                <w:highlight w:val="none"/>
                <w:lang w:bidi="ar"/>
              </w:rPr>
              <w:t>产污环节</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装置</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color w:val="auto"/>
                <w:kern w:val="0"/>
                <w:szCs w:val="21"/>
                <w:highlight w:val="none"/>
                <w:lang w:bidi="ar"/>
              </w:rPr>
              <w:t>类别</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污染物</w:t>
            </w:r>
            <w:r>
              <w:rPr>
                <w:rFonts w:hint="eastAsia"/>
                <w:color w:val="auto"/>
                <w:kern w:val="0"/>
                <w:szCs w:val="21"/>
                <w:highlight w:val="none"/>
                <w:lang w:bidi="ar"/>
              </w:rPr>
              <w:t>种类</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污染物产生</w:t>
            </w:r>
          </w:p>
        </w:tc>
        <w:tc>
          <w:tcPr>
            <w:tcW w:w="0" w:type="auto"/>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污染</w:t>
            </w:r>
            <w:r>
              <w:rPr>
                <w:color w:val="auto"/>
                <w:kern w:val="0"/>
                <w:szCs w:val="21"/>
                <w:highlight w:val="none"/>
                <w:lang w:bidi="ar"/>
              </w:rPr>
              <w:t>治理措施</w:t>
            </w:r>
          </w:p>
        </w:tc>
        <w:tc>
          <w:tcPr>
            <w:tcW w:w="0" w:type="auto"/>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污染物排放</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排放时间/h</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去向</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Style w:val="71"/>
                <w:rFonts w:hint="default" w:ascii="Times New Roman" w:hAnsi="Times New Roman" w:cs="Times New Roman"/>
                <w:color w:val="auto"/>
                <w:sz w:val="21"/>
                <w:szCs w:val="21"/>
                <w:highlight w:val="none"/>
                <w:lang w:bidi="ar"/>
              </w:rPr>
              <w:t>排放标准</w:t>
            </w:r>
          </w:p>
        </w:tc>
      </w:tr>
      <w:tr>
        <w:tblPrEx>
          <w:tblCellMar>
            <w:top w:w="0" w:type="dxa"/>
            <w:left w:w="108" w:type="dxa"/>
            <w:bottom w:w="0" w:type="dxa"/>
            <w:right w:w="108" w:type="dxa"/>
          </w:tblCellMar>
        </w:tblPrEx>
        <w:trPr>
          <w:trHeight w:val="585"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核算方法</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废水产生量/m</w:t>
            </w:r>
            <w:r>
              <w:rPr>
                <w:rStyle w:val="72"/>
                <w:color w:val="auto"/>
                <w:sz w:val="21"/>
                <w:szCs w:val="21"/>
                <w:highlight w:val="none"/>
                <w:lang w:bidi="ar"/>
              </w:rPr>
              <w:t>3</w:t>
            </w:r>
            <w:r>
              <w:rPr>
                <w:color w:val="auto"/>
                <w:kern w:val="0"/>
                <w:szCs w:val="21"/>
                <w:highlight w:val="none"/>
                <w:lang w:bidi="ar"/>
              </w:rPr>
              <w:t>/d</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产生浓度/mg/L</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产生量/kg/d</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工艺</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效率/%</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是否可行技术</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核算方法</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废水排放量/m</w:t>
            </w:r>
            <w:r>
              <w:rPr>
                <w:rStyle w:val="72"/>
                <w:color w:val="auto"/>
                <w:sz w:val="21"/>
                <w:szCs w:val="21"/>
                <w:highlight w:val="none"/>
                <w:lang w:bidi="ar"/>
              </w:rPr>
              <w:t>3</w:t>
            </w:r>
            <w:r>
              <w:rPr>
                <w:color w:val="auto"/>
                <w:kern w:val="0"/>
                <w:szCs w:val="21"/>
                <w:highlight w:val="none"/>
                <w:lang w:bidi="ar"/>
              </w:rPr>
              <w:t>/d</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排放浓度/mg/L</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排放量/kg/d</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浓度/mg/L</w:t>
            </w:r>
          </w:p>
        </w:tc>
      </w:tr>
      <w:tr>
        <w:tblPrEx>
          <w:tblCellMar>
            <w:top w:w="0" w:type="dxa"/>
            <w:left w:w="108" w:type="dxa"/>
            <w:bottom w:w="0" w:type="dxa"/>
            <w:right w:w="108" w:type="dxa"/>
          </w:tblCellMar>
        </w:tblPrEx>
        <w:trPr>
          <w:trHeight w:val="417" w:hRule="atLeast"/>
        </w:trPr>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职工生活</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生活污水处理设施</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生活污水</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COD</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类比法</w:t>
            </w:r>
          </w:p>
        </w:tc>
        <w:tc>
          <w:tcPr>
            <w:tcW w:w="911"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2.16</w:t>
            </w: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400</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0.864 </w:t>
            </w:r>
          </w:p>
        </w:tc>
        <w:tc>
          <w:tcPr>
            <w:tcW w:w="52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化粪池</w:t>
            </w: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30</w:t>
            </w:r>
          </w:p>
        </w:tc>
        <w:tc>
          <w:tcPr>
            <w:tcW w:w="667"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rFonts w:hint="eastAsia"/>
                <w:color w:val="auto"/>
                <w:kern w:val="0"/>
                <w:szCs w:val="21"/>
                <w:highlight w:val="none"/>
                <w:lang w:bidi="ar"/>
              </w:rPr>
              <w:t>是</w:t>
            </w:r>
          </w:p>
        </w:tc>
        <w:tc>
          <w:tcPr>
            <w:tcW w:w="619"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物料衡算法</w:t>
            </w:r>
          </w:p>
        </w:tc>
        <w:tc>
          <w:tcPr>
            <w:tcW w:w="911" w:type="dxa"/>
            <w:vMerge w:val="restart"/>
            <w:tcBorders>
              <w:top w:val="single" w:color="000000" w:sz="4" w:space="0"/>
              <w:left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2.16</w:t>
            </w: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280</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0.605 </w:t>
            </w:r>
          </w:p>
        </w:tc>
        <w:tc>
          <w:tcPr>
            <w:tcW w:w="0" w:type="auto"/>
            <w:vMerge w:val="restart"/>
            <w:tcBorders>
              <w:top w:val="single" w:color="000000" w:sz="4" w:space="0"/>
              <w:left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3</w:t>
            </w:r>
            <w:r>
              <w:rPr>
                <w:rFonts w:hint="eastAsia"/>
                <w:color w:val="auto"/>
                <w:kern w:val="0"/>
                <w:szCs w:val="21"/>
                <w:highlight w:val="none"/>
                <w:lang w:bidi="ar"/>
              </w:rPr>
              <w:t>3</w:t>
            </w:r>
            <w:r>
              <w:rPr>
                <w:color w:val="auto"/>
                <w:kern w:val="0"/>
                <w:szCs w:val="21"/>
                <w:highlight w:val="none"/>
                <w:lang w:bidi="ar"/>
              </w:rPr>
              <w:t>0*24</w:t>
            </w:r>
          </w:p>
        </w:tc>
        <w:tc>
          <w:tcPr>
            <w:tcW w:w="0" w:type="auto"/>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化粪池处理后排放漳湾临港工业区临时一体化污水处理厂</w:t>
            </w: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500</w:t>
            </w:r>
          </w:p>
        </w:tc>
      </w:tr>
      <w:tr>
        <w:tblPrEx>
          <w:tblCellMar>
            <w:top w:w="0" w:type="dxa"/>
            <w:left w:w="108" w:type="dxa"/>
            <w:bottom w:w="0" w:type="dxa"/>
            <w:right w:w="108" w:type="dxa"/>
          </w:tblCellMar>
        </w:tblPrEx>
        <w:trPr>
          <w:trHeight w:val="457"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BOD</w:t>
            </w:r>
            <w:r>
              <w:rPr>
                <w:color w:val="auto"/>
                <w:kern w:val="0"/>
                <w:szCs w:val="21"/>
                <w:highlight w:val="none"/>
                <w:vertAlign w:val="subscript"/>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right w:val="single" w:color="000000" w:sz="4" w:space="0"/>
            </w:tcBorders>
            <w:vAlign w:val="center"/>
          </w:tcPr>
          <w:p>
            <w:pPr>
              <w:jc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220</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0.475 </w:t>
            </w:r>
          </w:p>
        </w:tc>
        <w:tc>
          <w:tcPr>
            <w:tcW w:w="52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30</w:t>
            </w:r>
          </w:p>
        </w:tc>
        <w:tc>
          <w:tcPr>
            <w:tcW w:w="667" w:type="dxa"/>
            <w:vMerge w:val="continue"/>
            <w:tcBorders>
              <w:left w:val="single" w:color="000000" w:sz="4" w:space="0"/>
              <w:right w:val="single" w:color="000000" w:sz="4" w:space="0"/>
            </w:tcBorders>
            <w:vAlign w:val="center"/>
          </w:tcPr>
          <w:p>
            <w:pPr>
              <w:jc w:val="center"/>
              <w:rPr>
                <w:color w:val="auto"/>
                <w:kern w:val="0"/>
                <w:szCs w:val="21"/>
                <w:highlight w:val="none"/>
                <w:lang w:bidi="ar"/>
              </w:rPr>
            </w:pPr>
          </w:p>
        </w:tc>
        <w:tc>
          <w:tcPr>
            <w:tcW w:w="6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right w:val="single" w:color="000000" w:sz="4" w:space="0"/>
            </w:tcBorders>
            <w:vAlign w:val="center"/>
          </w:tcPr>
          <w:p>
            <w:pPr>
              <w:widowControl/>
              <w:jc w:val="center"/>
              <w:textAlignment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154</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0.333 </w:t>
            </w:r>
          </w:p>
        </w:tc>
        <w:tc>
          <w:tcPr>
            <w:tcW w:w="0" w:type="auto"/>
            <w:vMerge w:val="continue"/>
            <w:tcBorders>
              <w:left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180</w:t>
            </w:r>
          </w:p>
        </w:tc>
      </w:tr>
      <w:tr>
        <w:tblPrEx>
          <w:tblCellMar>
            <w:top w:w="0" w:type="dxa"/>
            <w:left w:w="108" w:type="dxa"/>
            <w:bottom w:w="0" w:type="dxa"/>
            <w:right w:w="108" w:type="dxa"/>
          </w:tblCellMar>
        </w:tblPrEx>
        <w:trPr>
          <w:trHeight w:val="457"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SS</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right w:val="single" w:color="000000" w:sz="4" w:space="0"/>
            </w:tcBorders>
            <w:vAlign w:val="center"/>
          </w:tcPr>
          <w:p>
            <w:pPr>
              <w:jc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200</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0.432 </w:t>
            </w:r>
          </w:p>
        </w:tc>
        <w:tc>
          <w:tcPr>
            <w:tcW w:w="52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27</w:t>
            </w:r>
          </w:p>
        </w:tc>
        <w:tc>
          <w:tcPr>
            <w:tcW w:w="667" w:type="dxa"/>
            <w:vMerge w:val="continue"/>
            <w:tcBorders>
              <w:left w:val="single" w:color="000000" w:sz="4" w:space="0"/>
              <w:right w:val="single" w:color="000000" w:sz="4" w:space="0"/>
            </w:tcBorders>
            <w:vAlign w:val="center"/>
          </w:tcPr>
          <w:p>
            <w:pPr>
              <w:jc w:val="center"/>
              <w:rPr>
                <w:color w:val="auto"/>
                <w:kern w:val="0"/>
                <w:szCs w:val="21"/>
                <w:highlight w:val="none"/>
                <w:lang w:bidi="ar"/>
              </w:rPr>
            </w:pPr>
          </w:p>
        </w:tc>
        <w:tc>
          <w:tcPr>
            <w:tcW w:w="6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right w:val="single" w:color="000000" w:sz="4" w:space="0"/>
            </w:tcBorders>
            <w:vAlign w:val="center"/>
          </w:tcPr>
          <w:p>
            <w:pPr>
              <w:widowControl/>
              <w:jc w:val="center"/>
              <w:textAlignment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146</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0.315 </w:t>
            </w:r>
          </w:p>
        </w:tc>
        <w:tc>
          <w:tcPr>
            <w:tcW w:w="0" w:type="auto"/>
            <w:vMerge w:val="continue"/>
            <w:tcBorders>
              <w:left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400</w:t>
            </w:r>
          </w:p>
        </w:tc>
      </w:tr>
      <w:tr>
        <w:tblPrEx>
          <w:tblCellMar>
            <w:top w:w="0" w:type="dxa"/>
            <w:left w:w="108" w:type="dxa"/>
            <w:bottom w:w="0" w:type="dxa"/>
            <w:right w:w="108" w:type="dxa"/>
          </w:tblCellMar>
        </w:tblPrEx>
        <w:trPr>
          <w:trHeight w:val="30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氨氮</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35</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0.076 </w:t>
            </w:r>
          </w:p>
        </w:tc>
        <w:tc>
          <w:tcPr>
            <w:tcW w:w="52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5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0</w:t>
            </w:r>
          </w:p>
        </w:tc>
        <w:tc>
          <w:tcPr>
            <w:tcW w:w="667" w:type="dxa"/>
            <w:vMerge w:val="continue"/>
            <w:tcBorders>
              <w:left w:val="single" w:color="000000" w:sz="4" w:space="0"/>
              <w:bottom w:val="single" w:color="000000" w:sz="4" w:space="0"/>
              <w:right w:val="single" w:color="000000" w:sz="4" w:space="0"/>
            </w:tcBorders>
            <w:vAlign w:val="center"/>
          </w:tcPr>
          <w:p>
            <w:pPr>
              <w:jc w:val="center"/>
              <w:rPr>
                <w:color w:val="auto"/>
                <w:kern w:val="0"/>
                <w:szCs w:val="21"/>
                <w:highlight w:val="none"/>
                <w:lang w:bidi="ar"/>
              </w:rPr>
            </w:pPr>
          </w:p>
        </w:tc>
        <w:tc>
          <w:tcPr>
            <w:tcW w:w="61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911" w:type="dxa"/>
            <w:vMerge w:val="continue"/>
            <w:tcBorders>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p>
        </w:tc>
        <w:tc>
          <w:tcPr>
            <w:tcW w:w="9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35</w:t>
            </w:r>
          </w:p>
        </w:tc>
        <w:tc>
          <w:tcPr>
            <w:tcW w:w="82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0.076 </w:t>
            </w:r>
          </w:p>
        </w:tc>
        <w:tc>
          <w:tcPr>
            <w:tcW w:w="0" w:type="auto"/>
            <w:vMerge w:val="continue"/>
            <w:tcBorders>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0" w:type="auto"/>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lang w:bidi="ar"/>
              </w:rPr>
            </w:pPr>
            <w:r>
              <w:rPr>
                <w:color w:val="auto"/>
                <w:kern w:val="0"/>
                <w:szCs w:val="21"/>
                <w:highlight w:val="none"/>
                <w:lang w:bidi="ar"/>
              </w:rPr>
              <w:t>45</w:t>
            </w:r>
          </w:p>
        </w:tc>
      </w:tr>
    </w:tbl>
    <w:p>
      <w:pPr>
        <w:pStyle w:val="36"/>
        <w:rPr>
          <w:color w:val="auto"/>
          <w:highlight w:val="none"/>
        </w:rPr>
      </w:pPr>
      <w:r>
        <w:rPr>
          <w:rFonts w:hint="eastAsia"/>
          <w:color w:val="auto"/>
          <w:highlight w:val="none"/>
        </w:rPr>
        <w:t>表4.2.1</w:t>
      </w:r>
      <w:r>
        <w:rPr>
          <w:rFonts w:hint="eastAsia"/>
          <w:color w:val="auto"/>
          <w:highlight w:val="none"/>
          <w:lang w:val="en-US" w:eastAsia="zh-CN"/>
        </w:rPr>
        <w:t>7</w:t>
      </w:r>
      <w:r>
        <w:rPr>
          <w:rFonts w:hint="eastAsia"/>
          <w:color w:val="auto"/>
          <w:highlight w:val="none"/>
        </w:rPr>
        <w:t xml:space="preserve">  项目废水排放一览表</w:t>
      </w:r>
    </w:p>
    <w:tbl>
      <w:tblPr>
        <w:tblStyle w:val="20"/>
        <w:tblW w:w="4996" w:type="pct"/>
        <w:tblInd w:w="0" w:type="dxa"/>
        <w:tblLayout w:type="autofit"/>
        <w:tblCellMar>
          <w:top w:w="0" w:type="dxa"/>
          <w:left w:w="108" w:type="dxa"/>
          <w:bottom w:w="0" w:type="dxa"/>
          <w:right w:w="108" w:type="dxa"/>
        </w:tblCellMar>
      </w:tblPr>
      <w:tblGrid>
        <w:gridCol w:w="1303"/>
        <w:gridCol w:w="824"/>
        <w:gridCol w:w="1321"/>
        <w:gridCol w:w="1224"/>
        <w:gridCol w:w="1066"/>
        <w:gridCol w:w="1588"/>
        <w:gridCol w:w="989"/>
        <w:gridCol w:w="928"/>
        <w:gridCol w:w="1433"/>
        <w:gridCol w:w="1473"/>
        <w:gridCol w:w="1075"/>
        <w:gridCol w:w="1098"/>
      </w:tblGrid>
      <w:tr>
        <w:tblPrEx>
          <w:tblCellMar>
            <w:top w:w="0" w:type="dxa"/>
            <w:left w:w="108" w:type="dxa"/>
            <w:bottom w:w="0" w:type="dxa"/>
            <w:right w:w="108" w:type="dxa"/>
          </w:tblCellMar>
        </w:tblPrEx>
        <w:trPr>
          <w:trHeight w:val="300" w:hRule="atLeast"/>
        </w:trPr>
        <w:tc>
          <w:tcPr>
            <w:tcW w:w="455" w:type="pct"/>
            <w:vMerge w:val="restart"/>
            <w:tcBorders>
              <w:top w:val="single" w:color="000000" w:sz="8" w:space="0"/>
              <w:left w:val="single" w:color="000000" w:sz="8" w:space="0"/>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工序</w:t>
            </w:r>
            <w:r>
              <w:rPr>
                <w:color w:val="auto"/>
                <w:kern w:val="0"/>
                <w:szCs w:val="21"/>
                <w:highlight w:val="none"/>
                <w:lang w:bidi="ar"/>
              </w:rPr>
              <w:t>/</w:t>
            </w:r>
            <w:r>
              <w:rPr>
                <w:rFonts w:hint="eastAsia" w:ascii="宋体" w:hAnsi="宋体" w:cs="宋体"/>
                <w:color w:val="auto"/>
                <w:kern w:val="0"/>
                <w:szCs w:val="21"/>
                <w:highlight w:val="none"/>
                <w:lang w:bidi="ar"/>
              </w:rPr>
              <w:t>生产线</w:t>
            </w:r>
          </w:p>
        </w:tc>
        <w:tc>
          <w:tcPr>
            <w:tcW w:w="288" w:type="pct"/>
            <w:vMerge w:val="restar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污染物</w:t>
            </w:r>
          </w:p>
        </w:tc>
        <w:tc>
          <w:tcPr>
            <w:tcW w:w="1260" w:type="pct"/>
            <w:gridSpan w:val="3"/>
            <w:tcBorders>
              <w:top w:val="single" w:color="000000" w:sz="8" w:space="0"/>
              <w:left w:val="nil"/>
              <w:bottom w:val="single" w:color="000000" w:sz="8" w:space="0"/>
              <w:right w:val="single" w:color="000000" w:sz="8"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进入漳湾临港工业区临时一体化污水处理厂污染物情况</w:t>
            </w:r>
          </w:p>
        </w:tc>
        <w:tc>
          <w:tcPr>
            <w:tcW w:w="899" w:type="pct"/>
            <w:gridSpan w:val="2"/>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治理措施</w:t>
            </w:r>
          </w:p>
        </w:tc>
        <w:tc>
          <w:tcPr>
            <w:tcW w:w="1713" w:type="pct"/>
            <w:gridSpan w:val="4"/>
            <w:tcBorders>
              <w:top w:val="single" w:color="000000" w:sz="8" w:space="0"/>
              <w:left w:val="nil"/>
              <w:bottom w:val="single" w:color="000000" w:sz="8" w:space="0"/>
              <w:right w:val="single" w:color="000000" w:sz="8" w:space="0"/>
            </w:tcBorders>
          </w:tcPr>
          <w:p>
            <w:pPr>
              <w:widowControl/>
              <w:jc w:val="center"/>
              <w:textAlignment w:val="top"/>
              <w:rPr>
                <w:color w:val="auto"/>
                <w:szCs w:val="21"/>
                <w:highlight w:val="none"/>
              </w:rPr>
            </w:pPr>
            <w:r>
              <w:rPr>
                <w:rFonts w:hint="eastAsia" w:ascii="宋体" w:hAnsi="宋体" w:cs="宋体"/>
                <w:color w:val="auto"/>
                <w:kern w:val="0"/>
                <w:szCs w:val="21"/>
                <w:highlight w:val="none"/>
                <w:lang w:bidi="ar"/>
              </w:rPr>
              <w:t>污染物排放</w:t>
            </w:r>
          </w:p>
        </w:tc>
        <w:tc>
          <w:tcPr>
            <w:tcW w:w="383" w:type="pct"/>
            <w:vMerge w:val="restar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排放时间</w:t>
            </w:r>
            <w:r>
              <w:rPr>
                <w:color w:val="auto"/>
                <w:kern w:val="0"/>
                <w:szCs w:val="21"/>
                <w:highlight w:val="none"/>
                <w:lang w:bidi="ar"/>
              </w:rPr>
              <w:t>h</w:t>
            </w:r>
          </w:p>
        </w:tc>
      </w:tr>
      <w:tr>
        <w:tblPrEx>
          <w:tblCellMar>
            <w:top w:w="0" w:type="dxa"/>
            <w:left w:w="108" w:type="dxa"/>
            <w:bottom w:w="0" w:type="dxa"/>
            <w:right w:w="108" w:type="dxa"/>
          </w:tblCellMar>
        </w:tblPrEx>
        <w:trPr>
          <w:trHeight w:val="600" w:hRule="atLeast"/>
        </w:trPr>
        <w:tc>
          <w:tcPr>
            <w:tcW w:w="455" w:type="pct"/>
            <w:vMerge w:val="continue"/>
            <w:tcBorders>
              <w:top w:val="single" w:color="000000" w:sz="8" w:space="0"/>
              <w:left w:val="single" w:color="000000" w:sz="8" w:space="0"/>
              <w:bottom w:val="single" w:color="000000" w:sz="8" w:space="0"/>
              <w:right w:val="single" w:color="000000" w:sz="8" w:space="0"/>
            </w:tcBorders>
            <w:vAlign w:val="center"/>
          </w:tcPr>
          <w:p>
            <w:pPr>
              <w:jc w:val="center"/>
              <w:rPr>
                <w:color w:val="auto"/>
                <w:szCs w:val="21"/>
                <w:highlight w:val="none"/>
              </w:rPr>
            </w:pPr>
          </w:p>
        </w:tc>
        <w:tc>
          <w:tcPr>
            <w:tcW w:w="288" w:type="pct"/>
            <w:vMerge w:val="continue"/>
            <w:tcBorders>
              <w:top w:val="single" w:color="000000" w:sz="8" w:space="0"/>
              <w:left w:val="nil"/>
              <w:bottom w:val="single" w:color="000000" w:sz="8" w:space="0"/>
              <w:right w:val="single" w:color="000000" w:sz="8" w:space="0"/>
            </w:tcBorders>
            <w:vAlign w:val="center"/>
          </w:tcPr>
          <w:p>
            <w:pPr>
              <w:jc w:val="center"/>
              <w:rPr>
                <w:color w:val="auto"/>
                <w:szCs w:val="21"/>
                <w:highlight w:val="none"/>
              </w:rPr>
            </w:pPr>
          </w:p>
        </w:tc>
        <w:tc>
          <w:tcPr>
            <w:tcW w:w="461" w:type="pc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废水产生量</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/d</w:t>
            </w:r>
          </w:p>
        </w:tc>
        <w:tc>
          <w:tcPr>
            <w:tcW w:w="427" w:type="pc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产生浓度</w:t>
            </w:r>
            <w:r>
              <w:rPr>
                <w:color w:val="auto"/>
                <w:kern w:val="0"/>
                <w:szCs w:val="21"/>
                <w:highlight w:val="none"/>
                <w:lang w:bidi="ar"/>
              </w:rPr>
              <w:t>mg/L</w:t>
            </w:r>
          </w:p>
        </w:tc>
        <w:tc>
          <w:tcPr>
            <w:tcW w:w="372" w:type="pc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产生量</w:t>
            </w:r>
            <w:r>
              <w:rPr>
                <w:color w:val="auto"/>
                <w:kern w:val="0"/>
                <w:szCs w:val="21"/>
                <w:highlight w:val="none"/>
                <w:lang w:bidi="ar"/>
              </w:rPr>
              <w:t>kg/d</w:t>
            </w:r>
          </w:p>
        </w:tc>
        <w:tc>
          <w:tcPr>
            <w:tcW w:w="554" w:type="pc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工艺</w:t>
            </w:r>
          </w:p>
        </w:tc>
        <w:tc>
          <w:tcPr>
            <w:tcW w:w="345" w:type="pc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效率</w:t>
            </w:r>
            <w:r>
              <w:rPr>
                <w:color w:val="auto"/>
                <w:kern w:val="0"/>
                <w:szCs w:val="21"/>
                <w:highlight w:val="none"/>
                <w:lang w:bidi="ar"/>
              </w:rPr>
              <w:t>%</w:t>
            </w:r>
          </w:p>
        </w:tc>
        <w:tc>
          <w:tcPr>
            <w:tcW w:w="324" w:type="pc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核算方法</w:t>
            </w:r>
          </w:p>
        </w:tc>
        <w:tc>
          <w:tcPr>
            <w:tcW w:w="500" w:type="pct"/>
            <w:tcBorders>
              <w:top w:val="single" w:color="000000" w:sz="8" w:space="0"/>
              <w:left w:val="nil"/>
              <w:bottom w:val="single" w:color="000000" w:sz="8" w:space="0"/>
              <w:right w:val="single" w:color="000000" w:sz="8" w:space="0"/>
            </w:tcBorders>
          </w:tcPr>
          <w:p>
            <w:pPr>
              <w:widowControl/>
              <w:jc w:val="center"/>
              <w:textAlignment w:val="top"/>
              <w:rPr>
                <w:color w:val="auto"/>
                <w:szCs w:val="21"/>
                <w:highlight w:val="none"/>
              </w:rPr>
            </w:pPr>
            <w:r>
              <w:rPr>
                <w:rFonts w:hint="eastAsia" w:ascii="宋体" w:hAnsi="宋体" w:cs="宋体"/>
                <w:color w:val="auto"/>
                <w:kern w:val="0"/>
                <w:szCs w:val="21"/>
                <w:highlight w:val="none"/>
                <w:lang w:bidi="ar"/>
              </w:rPr>
              <w:t>废水排放量</w:t>
            </w:r>
            <w:r>
              <w:rPr>
                <w:color w:val="auto"/>
                <w:kern w:val="0"/>
                <w:szCs w:val="21"/>
                <w:highlight w:val="none"/>
                <w:lang w:bidi="ar"/>
              </w:rPr>
              <w:t>m</w:t>
            </w:r>
            <w:r>
              <w:rPr>
                <w:color w:val="auto"/>
                <w:kern w:val="0"/>
                <w:szCs w:val="21"/>
                <w:highlight w:val="none"/>
                <w:vertAlign w:val="superscript"/>
                <w:lang w:bidi="ar"/>
              </w:rPr>
              <w:t>3</w:t>
            </w:r>
            <w:r>
              <w:rPr>
                <w:color w:val="auto"/>
                <w:kern w:val="0"/>
                <w:szCs w:val="21"/>
                <w:highlight w:val="none"/>
                <w:lang w:bidi="ar"/>
              </w:rPr>
              <w:t>/d</w:t>
            </w:r>
          </w:p>
        </w:tc>
        <w:tc>
          <w:tcPr>
            <w:tcW w:w="514" w:type="pc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排放浓度</w:t>
            </w:r>
            <w:r>
              <w:rPr>
                <w:color w:val="auto"/>
                <w:kern w:val="0"/>
                <w:szCs w:val="21"/>
                <w:highlight w:val="none"/>
                <w:lang w:bidi="ar"/>
              </w:rPr>
              <w:t>mg/L</w:t>
            </w:r>
          </w:p>
        </w:tc>
        <w:tc>
          <w:tcPr>
            <w:tcW w:w="374" w:type="pct"/>
            <w:tcBorders>
              <w:top w:val="single" w:color="000000" w:sz="8" w:space="0"/>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排放量</w:t>
            </w:r>
            <w:r>
              <w:rPr>
                <w:color w:val="auto"/>
                <w:kern w:val="0"/>
                <w:szCs w:val="21"/>
                <w:highlight w:val="none"/>
                <w:lang w:bidi="ar"/>
              </w:rPr>
              <w:t>kg/d</w:t>
            </w:r>
          </w:p>
        </w:tc>
        <w:tc>
          <w:tcPr>
            <w:tcW w:w="383" w:type="pct"/>
            <w:vMerge w:val="continue"/>
            <w:tcBorders>
              <w:top w:val="single" w:color="000000" w:sz="8" w:space="0"/>
              <w:left w:val="nil"/>
              <w:bottom w:val="single" w:color="000000" w:sz="8" w:space="0"/>
              <w:right w:val="single" w:color="000000" w:sz="8" w:space="0"/>
            </w:tcBorders>
            <w:vAlign w:val="center"/>
          </w:tcPr>
          <w:p>
            <w:pPr>
              <w:jc w:val="center"/>
              <w:rPr>
                <w:color w:val="auto"/>
                <w:szCs w:val="21"/>
                <w:highlight w:val="none"/>
              </w:rPr>
            </w:pPr>
          </w:p>
        </w:tc>
      </w:tr>
      <w:tr>
        <w:tblPrEx>
          <w:tblCellMar>
            <w:top w:w="0" w:type="dxa"/>
            <w:left w:w="108" w:type="dxa"/>
            <w:bottom w:w="0" w:type="dxa"/>
            <w:right w:w="108" w:type="dxa"/>
          </w:tblCellMar>
        </w:tblPrEx>
        <w:trPr>
          <w:trHeight w:val="250" w:hRule="atLeast"/>
        </w:trPr>
        <w:tc>
          <w:tcPr>
            <w:tcW w:w="1304" w:type="dxa"/>
            <w:vMerge w:val="restart"/>
            <w:tcBorders>
              <w:top w:val="nil"/>
              <w:left w:val="single" w:color="000000" w:sz="8" w:space="0"/>
              <w:bottom w:val="single" w:color="000000" w:sz="8" w:space="0"/>
              <w:right w:val="single" w:color="000000" w:sz="8"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漳湾临港工业区临时一体化污水处理厂</w:t>
            </w:r>
          </w:p>
        </w:tc>
        <w:tc>
          <w:tcPr>
            <w:tcW w:w="825"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pH</w:t>
            </w:r>
          </w:p>
        </w:tc>
        <w:tc>
          <w:tcPr>
            <w:tcW w:w="1321" w:type="dxa"/>
            <w:vMerge w:val="restar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color w:val="auto"/>
                <w:kern w:val="0"/>
                <w:szCs w:val="21"/>
                <w:highlight w:val="none"/>
                <w:lang w:bidi="ar"/>
              </w:rPr>
              <w:t>2.16</w:t>
            </w:r>
          </w:p>
        </w:tc>
        <w:tc>
          <w:tcPr>
            <w:tcW w:w="1224"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1066"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1588" w:type="dxa"/>
            <w:vMerge w:val="restar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AO+</w:t>
            </w:r>
            <w:r>
              <w:rPr>
                <w:rFonts w:hint="eastAsia" w:ascii="宋体" w:hAnsi="宋体" w:cs="宋体"/>
                <w:color w:val="auto"/>
                <w:kern w:val="0"/>
                <w:szCs w:val="21"/>
                <w:highlight w:val="none"/>
                <w:lang w:bidi="ar"/>
              </w:rPr>
              <w:t>混凝沉淀</w:t>
            </w:r>
            <w:r>
              <w:rPr>
                <w:color w:val="auto"/>
                <w:kern w:val="0"/>
                <w:szCs w:val="21"/>
                <w:highlight w:val="none"/>
                <w:lang w:bidi="ar"/>
              </w:rPr>
              <w:t>+</w:t>
            </w:r>
            <w:r>
              <w:rPr>
                <w:rFonts w:hint="eastAsia" w:ascii="宋体" w:hAnsi="宋体" w:cs="宋体"/>
                <w:color w:val="auto"/>
                <w:kern w:val="0"/>
                <w:szCs w:val="21"/>
                <w:highlight w:val="none"/>
                <w:lang w:bidi="ar"/>
              </w:rPr>
              <w:t>一体式膜过滤</w:t>
            </w:r>
            <w:r>
              <w:rPr>
                <w:color w:val="auto"/>
                <w:kern w:val="0"/>
                <w:szCs w:val="21"/>
                <w:highlight w:val="none"/>
                <w:lang w:bidi="ar"/>
              </w:rPr>
              <w:t>+</w:t>
            </w:r>
            <w:r>
              <w:rPr>
                <w:rFonts w:hint="eastAsia" w:ascii="宋体" w:hAnsi="宋体" w:cs="宋体"/>
                <w:color w:val="auto"/>
                <w:kern w:val="0"/>
                <w:szCs w:val="21"/>
                <w:highlight w:val="none"/>
                <w:lang w:bidi="ar"/>
              </w:rPr>
              <w:t>消毒</w:t>
            </w:r>
          </w:p>
        </w:tc>
        <w:tc>
          <w:tcPr>
            <w:tcW w:w="989"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929" w:type="dxa"/>
            <w:vMerge w:val="restart"/>
            <w:tcBorders>
              <w:top w:val="nil"/>
              <w:left w:val="nil"/>
              <w:bottom w:val="single" w:color="000000" w:sz="8" w:space="0"/>
              <w:right w:val="single" w:color="000000" w:sz="8"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物料衡算</w:t>
            </w:r>
          </w:p>
        </w:tc>
        <w:tc>
          <w:tcPr>
            <w:tcW w:w="1433" w:type="dxa"/>
            <w:vMerge w:val="restar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color w:val="auto"/>
                <w:kern w:val="0"/>
                <w:szCs w:val="21"/>
                <w:highlight w:val="none"/>
                <w:lang w:bidi="ar"/>
              </w:rPr>
              <w:t>2.16</w:t>
            </w:r>
          </w:p>
        </w:tc>
        <w:tc>
          <w:tcPr>
            <w:tcW w:w="1473"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6~9</w:t>
            </w:r>
            <w:r>
              <w:rPr>
                <w:rFonts w:hint="eastAsia" w:ascii="宋体" w:hAnsi="宋体" w:cs="宋体"/>
                <w:color w:val="auto"/>
                <w:kern w:val="0"/>
                <w:szCs w:val="21"/>
                <w:highlight w:val="none"/>
                <w:lang w:bidi="ar"/>
              </w:rPr>
              <w:t>（无量纲）</w:t>
            </w:r>
          </w:p>
        </w:tc>
        <w:tc>
          <w:tcPr>
            <w:tcW w:w="1072"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1098" w:type="dxa"/>
            <w:vMerge w:val="restart"/>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3</w:t>
            </w:r>
            <w:r>
              <w:rPr>
                <w:rFonts w:hint="eastAsia"/>
                <w:color w:val="auto"/>
                <w:kern w:val="0"/>
                <w:szCs w:val="21"/>
                <w:highlight w:val="none"/>
                <w:lang w:bidi="ar"/>
              </w:rPr>
              <w:t>3</w:t>
            </w:r>
            <w:r>
              <w:rPr>
                <w:color w:val="auto"/>
                <w:kern w:val="0"/>
                <w:szCs w:val="21"/>
                <w:highlight w:val="none"/>
                <w:lang w:bidi="ar"/>
              </w:rPr>
              <w:t>0*24</w:t>
            </w:r>
          </w:p>
        </w:tc>
      </w:tr>
      <w:tr>
        <w:tblPrEx>
          <w:tblCellMar>
            <w:top w:w="0" w:type="dxa"/>
            <w:left w:w="108" w:type="dxa"/>
            <w:bottom w:w="0" w:type="dxa"/>
            <w:right w:w="108" w:type="dxa"/>
          </w:tblCellMar>
        </w:tblPrEx>
        <w:trPr>
          <w:trHeight w:val="90" w:hRule="atLeast"/>
        </w:trPr>
        <w:tc>
          <w:tcPr>
            <w:tcW w:w="1304" w:type="dxa"/>
            <w:vMerge w:val="continue"/>
            <w:tcBorders>
              <w:top w:val="nil"/>
              <w:left w:val="single" w:color="000000" w:sz="8" w:space="0"/>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825"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COD</w:t>
            </w:r>
          </w:p>
        </w:tc>
        <w:tc>
          <w:tcPr>
            <w:tcW w:w="1321"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224"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280</w:t>
            </w:r>
          </w:p>
        </w:tc>
        <w:tc>
          <w:tcPr>
            <w:tcW w:w="1066"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0.605 </w:t>
            </w:r>
          </w:p>
        </w:tc>
        <w:tc>
          <w:tcPr>
            <w:tcW w:w="158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989"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929" w:type="dxa"/>
            <w:vMerge w:val="continue"/>
            <w:tcBorders>
              <w:top w:val="nil"/>
              <w:left w:val="nil"/>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1433"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473"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50</w:t>
            </w:r>
          </w:p>
        </w:tc>
        <w:tc>
          <w:tcPr>
            <w:tcW w:w="1072"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0.108 </w:t>
            </w:r>
          </w:p>
        </w:tc>
        <w:tc>
          <w:tcPr>
            <w:tcW w:w="109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r>
      <w:tr>
        <w:tblPrEx>
          <w:tblCellMar>
            <w:top w:w="0" w:type="dxa"/>
            <w:left w:w="108" w:type="dxa"/>
            <w:bottom w:w="0" w:type="dxa"/>
            <w:right w:w="108" w:type="dxa"/>
          </w:tblCellMar>
        </w:tblPrEx>
        <w:trPr>
          <w:trHeight w:val="270" w:hRule="atLeast"/>
        </w:trPr>
        <w:tc>
          <w:tcPr>
            <w:tcW w:w="1304" w:type="dxa"/>
            <w:vMerge w:val="continue"/>
            <w:tcBorders>
              <w:top w:val="nil"/>
              <w:left w:val="single" w:color="000000" w:sz="8" w:space="0"/>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825"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BOD</w:t>
            </w:r>
            <w:r>
              <w:rPr>
                <w:color w:val="auto"/>
                <w:kern w:val="0"/>
                <w:szCs w:val="21"/>
                <w:highlight w:val="none"/>
                <w:vertAlign w:val="subscript"/>
                <w:lang w:bidi="ar"/>
              </w:rPr>
              <w:t>5</w:t>
            </w:r>
          </w:p>
        </w:tc>
        <w:tc>
          <w:tcPr>
            <w:tcW w:w="1321"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224"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154</w:t>
            </w:r>
          </w:p>
        </w:tc>
        <w:tc>
          <w:tcPr>
            <w:tcW w:w="1066"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0.333 </w:t>
            </w:r>
          </w:p>
        </w:tc>
        <w:tc>
          <w:tcPr>
            <w:tcW w:w="158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989"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929" w:type="dxa"/>
            <w:vMerge w:val="continue"/>
            <w:tcBorders>
              <w:top w:val="nil"/>
              <w:left w:val="nil"/>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1433"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473"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10</w:t>
            </w:r>
          </w:p>
        </w:tc>
        <w:tc>
          <w:tcPr>
            <w:tcW w:w="1072"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0.022 </w:t>
            </w:r>
          </w:p>
        </w:tc>
        <w:tc>
          <w:tcPr>
            <w:tcW w:w="109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r>
      <w:tr>
        <w:tblPrEx>
          <w:tblCellMar>
            <w:top w:w="0" w:type="dxa"/>
            <w:left w:w="108" w:type="dxa"/>
            <w:bottom w:w="0" w:type="dxa"/>
            <w:right w:w="108" w:type="dxa"/>
          </w:tblCellMar>
        </w:tblPrEx>
        <w:trPr>
          <w:trHeight w:val="315" w:hRule="atLeast"/>
        </w:trPr>
        <w:tc>
          <w:tcPr>
            <w:tcW w:w="1304" w:type="dxa"/>
            <w:vMerge w:val="continue"/>
            <w:tcBorders>
              <w:top w:val="nil"/>
              <w:left w:val="single" w:color="000000" w:sz="8" w:space="0"/>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825"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SS</w:t>
            </w:r>
          </w:p>
        </w:tc>
        <w:tc>
          <w:tcPr>
            <w:tcW w:w="1321"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224"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146</w:t>
            </w:r>
          </w:p>
        </w:tc>
        <w:tc>
          <w:tcPr>
            <w:tcW w:w="1066"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0.315 </w:t>
            </w:r>
          </w:p>
        </w:tc>
        <w:tc>
          <w:tcPr>
            <w:tcW w:w="158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989"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929" w:type="dxa"/>
            <w:vMerge w:val="continue"/>
            <w:tcBorders>
              <w:top w:val="nil"/>
              <w:left w:val="nil"/>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1433"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473"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10</w:t>
            </w:r>
          </w:p>
        </w:tc>
        <w:tc>
          <w:tcPr>
            <w:tcW w:w="1072"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0.022 </w:t>
            </w:r>
          </w:p>
        </w:tc>
        <w:tc>
          <w:tcPr>
            <w:tcW w:w="109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r>
      <w:tr>
        <w:tblPrEx>
          <w:tblCellMar>
            <w:top w:w="0" w:type="dxa"/>
            <w:left w:w="108" w:type="dxa"/>
            <w:bottom w:w="0" w:type="dxa"/>
            <w:right w:w="108" w:type="dxa"/>
          </w:tblCellMar>
        </w:tblPrEx>
        <w:trPr>
          <w:trHeight w:val="255" w:hRule="atLeast"/>
        </w:trPr>
        <w:tc>
          <w:tcPr>
            <w:tcW w:w="1304" w:type="dxa"/>
            <w:vMerge w:val="continue"/>
            <w:tcBorders>
              <w:top w:val="nil"/>
              <w:left w:val="single" w:color="000000" w:sz="8" w:space="0"/>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825"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氨氮</w:t>
            </w:r>
          </w:p>
        </w:tc>
        <w:tc>
          <w:tcPr>
            <w:tcW w:w="1321"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224"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35</w:t>
            </w:r>
          </w:p>
        </w:tc>
        <w:tc>
          <w:tcPr>
            <w:tcW w:w="1066"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0.076 </w:t>
            </w:r>
          </w:p>
        </w:tc>
        <w:tc>
          <w:tcPr>
            <w:tcW w:w="158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989"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w:t>
            </w:r>
          </w:p>
        </w:tc>
        <w:tc>
          <w:tcPr>
            <w:tcW w:w="929" w:type="dxa"/>
            <w:vMerge w:val="continue"/>
            <w:tcBorders>
              <w:top w:val="nil"/>
              <w:left w:val="nil"/>
              <w:bottom w:val="single" w:color="000000" w:sz="8" w:space="0"/>
              <w:right w:val="single" w:color="000000" w:sz="8" w:space="0"/>
            </w:tcBorders>
            <w:vAlign w:val="center"/>
          </w:tcPr>
          <w:p>
            <w:pPr>
              <w:jc w:val="center"/>
              <w:rPr>
                <w:rFonts w:hint="eastAsia" w:ascii="宋体" w:hAnsi="宋体" w:cs="宋体"/>
                <w:color w:val="auto"/>
                <w:szCs w:val="21"/>
                <w:highlight w:val="none"/>
              </w:rPr>
            </w:pPr>
          </w:p>
        </w:tc>
        <w:tc>
          <w:tcPr>
            <w:tcW w:w="1433"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c>
          <w:tcPr>
            <w:tcW w:w="1473"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rPr>
            </w:pPr>
            <w:r>
              <w:rPr>
                <w:color w:val="auto"/>
                <w:kern w:val="0"/>
                <w:szCs w:val="21"/>
                <w:highlight w:val="none"/>
                <w:lang w:bidi="ar"/>
              </w:rPr>
              <w:t>5</w:t>
            </w:r>
          </w:p>
        </w:tc>
        <w:tc>
          <w:tcPr>
            <w:tcW w:w="1072" w:type="dxa"/>
            <w:tcBorders>
              <w:top w:val="nil"/>
              <w:left w:val="nil"/>
              <w:bottom w:val="single" w:color="000000" w:sz="8" w:space="0"/>
              <w:right w:val="single" w:color="000000" w:sz="8" w:space="0"/>
            </w:tcBorders>
            <w:vAlign w:val="center"/>
          </w:tcPr>
          <w:p>
            <w:pPr>
              <w:widowControl/>
              <w:jc w:val="center"/>
              <w:textAlignment w:val="center"/>
              <w:rPr>
                <w:color w:val="auto"/>
                <w:szCs w:val="21"/>
                <w:highlight w:val="none"/>
                <w:lang w:bidi="ar"/>
              </w:rPr>
            </w:pPr>
            <w:r>
              <w:rPr>
                <w:color w:val="auto"/>
                <w:kern w:val="0"/>
                <w:szCs w:val="21"/>
                <w:highlight w:val="none"/>
                <w:lang w:bidi="ar"/>
              </w:rPr>
              <w:t xml:space="preserve">0.011 </w:t>
            </w:r>
          </w:p>
        </w:tc>
        <w:tc>
          <w:tcPr>
            <w:tcW w:w="1098" w:type="dxa"/>
            <w:vMerge w:val="continue"/>
            <w:tcBorders>
              <w:top w:val="nil"/>
              <w:left w:val="nil"/>
              <w:bottom w:val="single" w:color="000000" w:sz="8" w:space="0"/>
              <w:right w:val="single" w:color="000000" w:sz="8" w:space="0"/>
            </w:tcBorders>
            <w:vAlign w:val="center"/>
          </w:tcPr>
          <w:p>
            <w:pPr>
              <w:jc w:val="center"/>
              <w:rPr>
                <w:color w:val="auto"/>
                <w:szCs w:val="21"/>
                <w:highlight w:val="none"/>
              </w:rPr>
            </w:pPr>
          </w:p>
        </w:tc>
      </w:tr>
    </w:tbl>
    <w:p>
      <w:pPr>
        <w:pStyle w:val="14"/>
        <w:rPr>
          <w:color w:val="auto"/>
          <w:highlight w:val="none"/>
        </w:rPr>
        <w:sectPr>
          <w:pgSz w:w="16838" w:h="11906" w:orient="landscape"/>
          <w:pgMar w:top="1304" w:right="1417" w:bottom="1304" w:left="1304" w:header="851" w:footer="992" w:gutter="0"/>
          <w:cols w:space="425" w:num="1"/>
          <w:docGrid w:type="lines" w:linePitch="312" w:charSpace="0"/>
        </w:sectPr>
      </w:pPr>
    </w:p>
    <w:tbl>
      <w:tblPr>
        <w:tblStyle w:val="20"/>
        <w:tblW w:w="51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93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3" w:hRule="atLeast"/>
          <w:jc w:val="center"/>
        </w:trPr>
        <w:tc>
          <w:tcPr>
            <w:tcW w:w="219" w:type="pct"/>
            <w:tcMar>
              <w:left w:w="28" w:type="dxa"/>
              <w:right w:w="28" w:type="dxa"/>
            </w:tcMar>
            <w:vAlign w:val="center"/>
          </w:tcPr>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措施</w:t>
            </w:r>
          </w:p>
        </w:tc>
        <w:tc>
          <w:tcPr>
            <w:tcW w:w="4780" w:type="pct"/>
            <w:vAlign w:val="center"/>
          </w:tcPr>
          <w:p>
            <w:pPr>
              <w:pStyle w:val="36"/>
              <w:rPr>
                <w:color w:val="auto"/>
                <w:highlight w:val="none"/>
              </w:rPr>
            </w:pPr>
            <w:r>
              <w:rPr>
                <w:rFonts w:hint="eastAsia"/>
                <w:color w:val="auto"/>
                <w:highlight w:val="none"/>
              </w:rPr>
              <w:t>表4.2.1</w:t>
            </w:r>
            <w:r>
              <w:rPr>
                <w:rFonts w:hint="eastAsia"/>
                <w:color w:val="auto"/>
                <w:highlight w:val="none"/>
                <w:lang w:val="en-US" w:eastAsia="zh-CN"/>
              </w:rPr>
              <w:t>8</w:t>
            </w:r>
            <w:r>
              <w:rPr>
                <w:rFonts w:hint="eastAsia"/>
                <w:color w:val="auto"/>
                <w:highlight w:val="none"/>
              </w:rPr>
              <w:t xml:space="preserve">  废水污染物排放信息一览表</w:t>
            </w:r>
          </w:p>
          <w:tbl>
            <w:tblPr>
              <w:tblStyle w:val="20"/>
              <w:tblW w:w="4782" w:type="pct"/>
              <w:tblInd w:w="0" w:type="dxa"/>
              <w:tblLayout w:type="autofit"/>
              <w:tblCellMar>
                <w:top w:w="0" w:type="dxa"/>
                <w:left w:w="108" w:type="dxa"/>
                <w:bottom w:w="0" w:type="dxa"/>
                <w:right w:w="108" w:type="dxa"/>
              </w:tblCellMar>
            </w:tblPr>
            <w:tblGrid>
              <w:gridCol w:w="782"/>
              <w:gridCol w:w="1556"/>
              <w:gridCol w:w="1556"/>
              <w:gridCol w:w="3052"/>
              <w:gridCol w:w="1814"/>
            </w:tblGrid>
            <w:tr>
              <w:tblPrEx>
                <w:tblCellMar>
                  <w:top w:w="0" w:type="dxa"/>
                  <w:left w:w="108" w:type="dxa"/>
                  <w:bottom w:w="0" w:type="dxa"/>
                  <w:right w:w="108" w:type="dxa"/>
                </w:tblCellMar>
              </w:tblPrEx>
              <w:trPr>
                <w:trHeight w:val="235" w:hRule="atLeast"/>
              </w:trPr>
              <w:tc>
                <w:tcPr>
                  <w:tcW w:w="44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序号</w:t>
                  </w:r>
                </w:p>
              </w:tc>
              <w:tc>
                <w:tcPr>
                  <w:tcW w:w="88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排放口编号</w:t>
                  </w:r>
                </w:p>
              </w:tc>
              <w:tc>
                <w:tcPr>
                  <w:tcW w:w="88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污染物种类</w:t>
                  </w:r>
                </w:p>
              </w:tc>
              <w:tc>
                <w:tcPr>
                  <w:tcW w:w="174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排放浓度（</w:t>
                  </w:r>
                  <w:r>
                    <w:rPr>
                      <w:color w:val="auto"/>
                      <w:kern w:val="0"/>
                      <w:szCs w:val="21"/>
                      <w:highlight w:val="none"/>
                      <w:lang w:bidi="ar"/>
                    </w:rPr>
                    <w:t>mg/L</w:t>
                  </w:r>
                  <w:r>
                    <w:rPr>
                      <w:rFonts w:hint="eastAsia" w:ascii="宋体" w:hAnsi="宋体" w:cs="宋体"/>
                      <w:color w:val="auto"/>
                      <w:kern w:val="0"/>
                      <w:szCs w:val="21"/>
                      <w:highlight w:val="none"/>
                      <w:lang w:bidi="ar"/>
                    </w:rPr>
                    <w:t>）</w:t>
                  </w:r>
                </w:p>
              </w:tc>
              <w:tc>
                <w:tcPr>
                  <w:tcW w:w="1035"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排放量（</w:t>
                  </w:r>
                  <w:r>
                    <w:rPr>
                      <w:color w:val="auto"/>
                      <w:kern w:val="0"/>
                      <w:szCs w:val="21"/>
                      <w:highlight w:val="none"/>
                      <w:lang w:bidi="ar"/>
                    </w:rPr>
                    <w:t>t/a</w:t>
                  </w:r>
                  <w:r>
                    <w:rPr>
                      <w:rFonts w:hint="eastAsia" w:ascii="宋体" w:hAnsi="宋体" w:cs="宋体"/>
                      <w:color w:val="auto"/>
                      <w:kern w:val="0"/>
                      <w:szCs w:val="21"/>
                      <w:highlight w:val="none"/>
                      <w:lang w:bidi="ar"/>
                    </w:rPr>
                    <w:t>）</w:t>
                  </w:r>
                </w:p>
              </w:tc>
            </w:tr>
            <w:tr>
              <w:tblPrEx>
                <w:tblCellMar>
                  <w:top w:w="0" w:type="dxa"/>
                  <w:left w:w="108" w:type="dxa"/>
                  <w:bottom w:w="0" w:type="dxa"/>
                  <w:right w:w="108" w:type="dxa"/>
                </w:tblCellMar>
              </w:tblPrEx>
              <w:trPr>
                <w:trHeight w:val="280" w:hRule="atLeast"/>
              </w:trPr>
              <w:tc>
                <w:tcPr>
                  <w:tcW w:w="44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1</w:t>
                  </w:r>
                </w:p>
              </w:tc>
              <w:tc>
                <w:tcPr>
                  <w:tcW w:w="888"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DW001</w:t>
                  </w:r>
                </w:p>
              </w:tc>
              <w:tc>
                <w:tcPr>
                  <w:tcW w:w="1495" w:type="dxa"/>
                  <w:tcBorders>
                    <w:top w:val="single" w:color="000000" w:sz="4" w:space="0"/>
                    <w:left w:val="single" w:color="000000" w:sz="4" w:space="0"/>
                    <w:bottom w:val="single" w:color="000000" w:sz="4" w:space="0"/>
                    <w:right w:val="nil"/>
                  </w:tcBorders>
                  <w:vAlign w:val="center"/>
                </w:tcPr>
                <w:p>
                  <w:pPr>
                    <w:widowControl/>
                    <w:jc w:val="center"/>
                    <w:textAlignment w:val="center"/>
                    <w:rPr>
                      <w:color w:val="auto"/>
                      <w:szCs w:val="21"/>
                      <w:highlight w:val="none"/>
                    </w:rPr>
                  </w:pPr>
                  <w:r>
                    <w:rPr>
                      <w:color w:val="auto"/>
                      <w:kern w:val="0"/>
                      <w:szCs w:val="21"/>
                      <w:highlight w:val="none"/>
                      <w:lang w:bidi="ar"/>
                    </w:rPr>
                    <w:t>COD</w:t>
                  </w:r>
                  <w:r>
                    <w:rPr>
                      <w:color w:val="auto"/>
                      <w:kern w:val="0"/>
                      <w:szCs w:val="21"/>
                      <w:highlight w:val="none"/>
                      <w:vertAlign w:val="subscript"/>
                      <w:lang w:bidi="ar"/>
                    </w:rPr>
                    <w:t>cr</w:t>
                  </w:r>
                </w:p>
              </w:tc>
              <w:tc>
                <w:tcPr>
                  <w:tcW w:w="2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50</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0.036 </w:t>
                  </w:r>
                </w:p>
              </w:tc>
            </w:tr>
            <w:tr>
              <w:tblPrEx>
                <w:tblCellMar>
                  <w:top w:w="0" w:type="dxa"/>
                  <w:left w:w="108" w:type="dxa"/>
                  <w:bottom w:w="0" w:type="dxa"/>
                  <w:right w:w="108" w:type="dxa"/>
                </w:tblCellMar>
              </w:tblPrEx>
              <w:trPr>
                <w:trHeight w:val="300" w:hRule="atLeast"/>
              </w:trPr>
              <w:tc>
                <w:tcPr>
                  <w:tcW w:w="44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8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495" w:type="dxa"/>
                  <w:tcBorders>
                    <w:top w:val="single" w:color="000000" w:sz="4" w:space="0"/>
                    <w:left w:val="single" w:color="000000" w:sz="4" w:space="0"/>
                    <w:bottom w:val="single" w:color="000000" w:sz="4" w:space="0"/>
                    <w:right w:val="nil"/>
                  </w:tcBorders>
                  <w:vAlign w:val="center"/>
                </w:tcPr>
                <w:p>
                  <w:pPr>
                    <w:widowControl/>
                    <w:jc w:val="center"/>
                    <w:textAlignment w:val="center"/>
                    <w:rPr>
                      <w:color w:val="auto"/>
                      <w:szCs w:val="21"/>
                      <w:highlight w:val="none"/>
                    </w:rPr>
                  </w:pPr>
                  <w:r>
                    <w:rPr>
                      <w:color w:val="auto"/>
                      <w:kern w:val="0"/>
                      <w:szCs w:val="21"/>
                      <w:highlight w:val="none"/>
                      <w:lang w:bidi="ar"/>
                    </w:rPr>
                    <w:t>BOD</w:t>
                  </w:r>
                  <w:r>
                    <w:rPr>
                      <w:color w:val="auto"/>
                      <w:kern w:val="0"/>
                      <w:szCs w:val="21"/>
                      <w:highlight w:val="none"/>
                      <w:vertAlign w:val="subscript"/>
                      <w:lang w:bidi="ar"/>
                    </w:rPr>
                    <w:t>5</w:t>
                  </w:r>
                </w:p>
              </w:tc>
              <w:tc>
                <w:tcPr>
                  <w:tcW w:w="2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10</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0.007 </w:t>
                  </w:r>
                </w:p>
              </w:tc>
            </w:tr>
            <w:tr>
              <w:tblPrEx>
                <w:tblCellMar>
                  <w:top w:w="0" w:type="dxa"/>
                  <w:left w:w="108" w:type="dxa"/>
                  <w:bottom w:w="0" w:type="dxa"/>
                  <w:right w:w="108" w:type="dxa"/>
                </w:tblCellMar>
              </w:tblPrEx>
              <w:trPr>
                <w:trHeight w:val="315" w:hRule="atLeast"/>
              </w:trPr>
              <w:tc>
                <w:tcPr>
                  <w:tcW w:w="44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8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495" w:type="dxa"/>
                  <w:tcBorders>
                    <w:top w:val="single" w:color="000000" w:sz="4" w:space="0"/>
                    <w:left w:val="single" w:color="000000" w:sz="4" w:space="0"/>
                    <w:bottom w:val="single" w:color="000000" w:sz="4" w:space="0"/>
                    <w:right w:val="nil"/>
                  </w:tcBorders>
                  <w:vAlign w:val="center"/>
                </w:tcPr>
                <w:p>
                  <w:pPr>
                    <w:widowControl/>
                    <w:jc w:val="center"/>
                    <w:textAlignment w:val="center"/>
                    <w:rPr>
                      <w:color w:val="auto"/>
                      <w:szCs w:val="21"/>
                      <w:highlight w:val="none"/>
                    </w:rPr>
                  </w:pPr>
                  <w:r>
                    <w:rPr>
                      <w:color w:val="auto"/>
                      <w:kern w:val="0"/>
                      <w:szCs w:val="21"/>
                      <w:highlight w:val="none"/>
                      <w:lang w:bidi="ar"/>
                    </w:rPr>
                    <w:t>SS</w:t>
                  </w:r>
                </w:p>
              </w:tc>
              <w:tc>
                <w:tcPr>
                  <w:tcW w:w="2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10</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0.007 </w:t>
                  </w:r>
                </w:p>
              </w:tc>
            </w:tr>
            <w:tr>
              <w:tblPrEx>
                <w:tblCellMar>
                  <w:top w:w="0" w:type="dxa"/>
                  <w:left w:w="108" w:type="dxa"/>
                  <w:bottom w:w="0" w:type="dxa"/>
                  <w:right w:w="108" w:type="dxa"/>
                </w:tblCellMar>
              </w:tblPrEx>
              <w:trPr>
                <w:trHeight w:val="300" w:hRule="atLeast"/>
              </w:trPr>
              <w:tc>
                <w:tcPr>
                  <w:tcW w:w="44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88"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495" w:type="dxa"/>
                  <w:tcBorders>
                    <w:top w:val="single" w:color="000000" w:sz="4" w:space="0"/>
                    <w:left w:val="single" w:color="000000" w:sz="4" w:space="0"/>
                    <w:bottom w:val="single" w:color="000000" w:sz="4" w:space="0"/>
                    <w:right w:val="nil"/>
                  </w:tcBorders>
                  <w:vAlign w:val="center"/>
                </w:tcPr>
                <w:p>
                  <w:pPr>
                    <w:widowControl/>
                    <w:jc w:val="center"/>
                    <w:textAlignment w:val="center"/>
                    <w:rPr>
                      <w:color w:val="auto"/>
                      <w:szCs w:val="21"/>
                      <w:highlight w:val="none"/>
                    </w:rPr>
                  </w:pPr>
                  <w:r>
                    <w:rPr>
                      <w:color w:val="auto"/>
                      <w:kern w:val="0"/>
                      <w:szCs w:val="21"/>
                      <w:highlight w:val="none"/>
                      <w:lang w:bidi="ar"/>
                    </w:rPr>
                    <w:t>NH</w:t>
                  </w:r>
                  <w:r>
                    <w:rPr>
                      <w:color w:val="auto"/>
                      <w:kern w:val="0"/>
                      <w:szCs w:val="21"/>
                      <w:highlight w:val="none"/>
                      <w:vertAlign w:val="subscript"/>
                      <w:lang w:bidi="ar"/>
                    </w:rPr>
                    <w:t>3</w:t>
                  </w:r>
                  <w:r>
                    <w:rPr>
                      <w:color w:val="auto"/>
                      <w:kern w:val="0"/>
                      <w:szCs w:val="21"/>
                      <w:highlight w:val="none"/>
                      <w:lang w:bidi="ar"/>
                    </w:rPr>
                    <w:t>-N</w:t>
                  </w:r>
                </w:p>
              </w:tc>
              <w:tc>
                <w:tcPr>
                  <w:tcW w:w="293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5</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0.004 </w:t>
                  </w:r>
                </w:p>
              </w:tc>
            </w:tr>
            <w:tr>
              <w:tblPrEx>
                <w:tblCellMar>
                  <w:top w:w="0" w:type="dxa"/>
                  <w:left w:w="108" w:type="dxa"/>
                  <w:bottom w:w="0" w:type="dxa"/>
                  <w:right w:w="108" w:type="dxa"/>
                </w:tblCellMar>
              </w:tblPrEx>
              <w:trPr>
                <w:trHeight w:val="300" w:hRule="atLeast"/>
              </w:trPr>
              <w:tc>
                <w:tcPr>
                  <w:tcW w:w="1334" w:type="pct"/>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全厂排放口合计</w:t>
                  </w:r>
                </w:p>
              </w:tc>
              <w:tc>
                <w:tcPr>
                  <w:tcW w:w="442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COD</w:t>
                  </w:r>
                  <w:r>
                    <w:rPr>
                      <w:color w:val="auto"/>
                      <w:kern w:val="0"/>
                      <w:szCs w:val="21"/>
                      <w:highlight w:val="none"/>
                      <w:vertAlign w:val="subscript"/>
                      <w:lang w:bidi="ar"/>
                    </w:rPr>
                    <w:t>cr</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0.036 </w:t>
                  </w:r>
                </w:p>
              </w:tc>
            </w:tr>
            <w:tr>
              <w:tblPrEx>
                <w:tblCellMar>
                  <w:top w:w="0" w:type="dxa"/>
                  <w:left w:w="108" w:type="dxa"/>
                  <w:bottom w:w="0" w:type="dxa"/>
                  <w:right w:w="108" w:type="dxa"/>
                </w:tblCellMar>
              </w:tblPrEx>
              <w:trPr>
                <w:trHeight w:val="300" w:hRule="atLeast"/>
              </w:trPr>
              <w:tc>
                <w:tcPr>
                  <w:tcW w:w="1334" w:type="pct"/>
                  <w:gridSpan w:val="2"/>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Cs w:val="21"/>
                      <w:highlight w:val="none"/>
                    </w:rPr>
                  </w:pPr>
                </w:p>
              </w:tc>
              <w:tc>
                <w:tcPr>
                  <w:tcW w:w="4426"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NH</w:t>
                  </w:r>
                  <w:r>
                    <w:rPr>
                      <w:color w:val="auto"/>
                      <w:kern w:val="0"/>
                      <w:szCs w:val="21"/>
                      <w:highlight w:val="none"/>
                      <w:vertAlign w:val="subscript"/>
                      <w:lang w:bidi="ar"/>
                    </w:rPr>
                    <w:t>3</w:t>
                  </w:r>
                  <w:r>
                    <w:rPr>
                      <w:color w:val="auto"/>
                      <w:kern w:val="0"/>
                      <w:szCs w:val="21"/>
                      <w:highlight w:val="none"/>
                      <w:lang w:bidi="ar"/>
                    </w:rPr>
                    <w:t>-N</w:t>
                  </w:r>
                </w:p>
              </w:tc>
              <w:tc>
                <w:tcPr>
                  <w:tcW w:w="174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 xml:space="preserve">0.004 </w:t>
                  </w:r>
                </w:p>
              </w:tc>
            </w:tr>
          </w:tbl>
          <w:p>
            <w:pPr>
              <w:pStyle w:val="36"/>
              <w:rPr>
                <w:color w:val="auto"/>
                <w:highlight w:val="none"/>
              </w:rPr>
            </w:pPr>
            <w:r>
              <w:rPr>
                <w:rFonts w:hint="eastAsia"/>
                <w:color w:val="auto"/>
                <w:highlight w:val="none"/>
              </w:rPr>
              <w:t>表 4.2.1</w:t>
            </w:r>
            <w:r>
              <w:rPr>
                <w:rFonts w:hint="eastAsia"/>
                <w:color w:val="auto"/>
                <w:highlight w:val="none"/>
                <w:lang w:val="en-US" w:eastAsia="zh-CN"/>
              </w:rPr>
              <w:t>9</w:t>
            </w:r>
            <w:r>
              <w:rPr>
                <w:rFonts w:hint="eastAsia"/>
                <w:color w:val="auto"/>
                <w:highlight w:val="none"/>
              </w:rPr>
              <w:t xml:space="preserve">  废水排放口基本情况一览表</w:t>
            </w:r>
          </w:p>
          <w:tbl>
            <w:tblPr>
              <w:tblStyle w:val="20"/>
              <w:tblW w:w="0" w:type="auto"/>
              <w:tblInd w:w="0" w:type="dxa"/>
              <w:tblLayout w:type="autofit"/>
              <w:tblCellMar>
                <w:top w:w="0" w:type="dxa"/>
                <w:left w:w="108" w:type="dxa"/>
                <w:bottom w:w="0" w:type="dxa"/>
                <w:right w:w="108" w:type="dxa"/>
              </w:tblCellMar>
            </w:tblPr>
            <w:tblGrid>
              <w:gridCol w:w="1012"/>
              <w:gridCol w:w="855"/>
              <w:gridCol w:w="712"/>
              <w:gridCol w:w="1298"/>
              <w:gridCol w:w="1193"/>
              <w:gridCol w:w="1856"/>
              <w:gridCol w:w="822"/>
              <w:gridCol w:w="1046"/>
            </w:tblGrid>
            <w:tr>
              <w:tblPrEx>
                <w:tblCellMar>
                  <w:top w:w="0" w:type="dxa"/>
                  <w:left w:w="108" w:type="dxa"/>
                  <w:bottom w:w="0" w:type="dxa"/>
                  <w:right w:w="108" w:type="dxa"/>
                </w:tblCellMar>
              </w:tblPrEx>
              <w:trPr>
                <w:trHeight w:val="300" w:hRule="atLeast"/>
              </w:trPr>
              <w:tc>
                <w:tcPr>
                  <w:tcW w:w="101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排放口编号</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排放口名称</w:t>
                  </w:r>
                </w:p>
              </w:tc>
              <w:tc>
                <w:tcPr>
                  <w:tcW w:w="71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排放口类型</w:t>
                  </w:r>
                </w:p>
              </w:tc>
              <w:tc>
                <w:tcPr>
                  <w:tcW w:w="249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排放口地理坐标</w:t>
                  </w:r>
                </w:p>
              </w:tc>
              <w:tc>
                <w:tcPr>
                  <w:tcW w:w="3724"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排放标准</w:t>
                  </w:r>
                </w:p>
              </w:tc>
            </w:tr>
            <w:tr>
              <w:tblPrEx>
                <w:tblCellMar>
                  <w:top w:w="0" w:type="dxa"/>
                  <w:left w:w="108" w:type="dxa"/>
                  <w:bottom w:w="0" w:type="dxa"/>
                  <w:right w:w="108" w:type="dxa"/>
                </w:tblCellMar>
              </w:tblPrEx>
              <w:trPr>
                <w:trHeight w:val="570" w:hRule="atLeast"/>
              </w:trPr>
              <w:tc>
                <w:tcPr>
                  <w:tcW w:w="10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Cs w:val="21"/>
                      <w:highlight w:val="none"/>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cs="宋体"/>
                      <w:color w:val="auto"/>
                      <w:szCs w:val="21"/>
                      <w:highlight w:val="none"/>
                    </w:rPr>
                  </w:pPr>
                </w:p>
              </w:tc>
              <w:tc>
                <w:tcPr>
                  <w:tcW w:w="1298"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经度</w:t>
                  </w:r>
                </w:p>
              </w:tc>
              <w:tc>
                <w:tcPr>
                  <w:tcW w:w="119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纬度</w:t>
                  </w:r>
                </w:p>
              </w:tc>
              <w:tc>
                <w:tcPr>
                  <w:tcW w:w="18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kern w:val="0"/>
                      <w:szCs w:val="21"/>
                      <w:highlight w:val="none"/>
                      <w:lang w:bidi="ar"/>
                    </w:rPr>
                    <w:t>标准名称</w:t>
                  </w:r>
                </w:p>
              </w:tc>
              <w:tc>
                <w:tcPr>
                  <w:tcW w:w="8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污染物</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宋体" w:hAnsi="宋体" w:cs="宋体"/>
                      <w:color w:val="auto"/>
                      <w:szCs w:val="21"/>
                      <w:highlight w:val="none"/>
                    </w:rPr>
                  </w:pPr>
                  <w:r>
                    <w:rPr>
                      <w:rFonts w:hint="eastAsia" w:ascii="宋体" w:hAnsi="宋体" w:cs="宋体"/>
                      <w:color w:val="auto"/>
                      <w:kern w:val="0"/>
                      <w:szCs w:val="21"/>
                      <w:highlight w:val="none"/>
                      <w:lang w:bidi="ar"/>
                    </w:rPr>
                    <w:t>排放标准值</w:t>
                  </w:r>
                  <w:r>
                    <w:rPr>
                      <w:color w:val="auto"/>
                      <w:kern w:val="0"/>
                      <w:szCs w:val="21"/>
                      <w:highlight w:val="none"/>
                      <w:lang w:bidi="ar"/>
                    </w:rPr>
                    <w:t>mg/L</w:t>
                  </w:r>
                </w:p>
              </w:tc>
            </w:tr>
            <w:tr>
              <w:tblPrEx>
                <w:tblCellMar>
                  <w:top w:w="0" w:type="dxa"/>
                  <w:left w:w="108" w:type="dxa"/>
                  <w:bottom w:w="0" w:type="dxa"/>
                  <w:right w:w="108" w:type="dxa"/>
                </w:tblCellMar>
              </w:tblPrEx>
              <w:trPr>
                <w:trHeight w:val="375" w:hRule="atLeast"/>
              </w:trPr>
              <w:tc>
                <w:tcPr>
                  <w:tcW w:w="101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DW001</w:t>
                  </w:r>
                </w:p>
              </w:tc>
              <w:tc>
                <w:tcPr>
                  <w:tcW w:w="85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厂区废水排放口</w:t>
                  </w:r>
                </w:p>
              </w:tc>
              <w:tc>
                <w:tcPr>
                  <w:tcW w:w="712"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color w:val="auto"/>
                      <w:kern w:val="0"/>
                      <w:szCs w:val="21"/>
                      <w:highlight w:val="none"/>
                      <w:lang w:bidi="ar"/>
                    </w:rPr>
                    <w:t>生活污水</w:t>
                  </w:r>
                </w:p>
              </w:tc>
              <w:tc>
                <w:tcPr>
                  <w:tcW w:w="1298"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11</w:t>
                  </w:r>
                  <w:r>
                    <w:rPr>
                      <w:rFonts w:hint="eastAsia"/>
                      <w:color w:val="auto"/>
                      <w:kern w:val="0"/>
                      <w:szCs w:val="21"/>
                      <w:highlight w:val="none"/>
                      <w:lang w:bidi="ar"/>
                    </w:rPr>
                    <w:t>9.639259</w:t>
                  </w:r>
                  <w:r>
                    <w:rPr>
                      <w:color w:val="auto"/>
                      <w:kern w:val="0"/>
                      <w:szCs w:val="21"/>
                      <w:highlight w:val="none"/>
                      <w:lang w:bidi="ar"/>
                    </w:rPr>
                    <w:t>°</w:t>
                  </w:r>
                </w:p>
              </w:tc>
              <w:tc>
                <w:tcPr>
                  <w:tcW w:w="1193"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26.</w:t>
                  </w:r>
                  <w:r>
                    <w:rPr>
                      <w:rFonts w:hint="eastAsia"/>
                      <w:color w:val="auto"/>
                      <w:kern w:val="0"/>
                      <w:szCs w:val="21"/>
                      <w:highlight w:val="none"/>
                      <w:lang w:bidi="ar"/>
                    </w:rPr>
                    <w:t>733943</w:t>
                  </w:r>
                  <w:r>
                    <w:rPr>
                      <w:color w:val="auto"/>
                      <w:kern w:val="0"/>
                      <w:szCs w:val="21"/>
                      <w:highlight w:val="none"/>
                      <w:lang w:bidi="ar"/>
                    </w:rPr>
                    <w:t>°</w:t>
                  </w:r>
                </w:p>
              </w:tc>
              <w:tc>
                <w:tcPr>
                  <w:tcW w:w="1856"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rFonts w:hint="eastAsia" w:ascii="宋体" w:hAnsi="宋体" w:cs="宋体"/>
                      <w:color w:val="auto"/>
                      <w:szCs w:val="21"/>
                      <w:highlight w:val="none"/>
                    </w:rPr>
                    <w:t>漳湾临港工业区临时一体化污水处理厂</w:t>
                  </w:r>
                  <w:r>
                    <w:rPr>
                      <w:rFonts w:hint="eastAsia"/>
                      <w:color w:val="auto"/>
                      <w:szCs w:val="21"/>
                      <w:highlight w:val="none"/>
                    </w:rPr>
                    <w:t>水质要求</w:t>
                  </w:r>
                </w:p>
              </w:tc>
              <w:tc>
                <w:tcPr>
                  <w:tcW w:w="8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COD</w:t>
                  </w:r>
                  <w:r>
                    <w:rPr>
                      <w:color w:val="auto"/>
                      <w:kern w:val="0"/>
                      <w:szCs w:val="21"/>
                      <w:highlight w:val="none"/>
                      <w:vertAlign w:val="subscript"/>
                      <w:lang w:bidi="ar"/>
                    </w:rPr>
                    <w:t>cr</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color w:val="auto"/>
                      <w:kern w:val="0"/>
                      <w:szCs w:val="21"/>
                      <w:highlight w:val="none"/>
                      <w:lang w:bidi="ar"/>
                    </w:rPr>
                    <w:t>50</w:t>
                  </w:r>
                </w:p>
              </w:tc>
            </w:tr>
            <w:tr>
              <w:tblPrEx>
                <w:tblCellMar>
                  <w:top w:w="0" w:type="dxa"/>
                  <w:left w:w="108" w:type="dxa"/>
                  <w:bottom w:w="0" w:type="dxa"/>
                  <w:right w:w="108" w:type="dxa"/>
                </w:tblCellMar>
              </w:tblPrEx>
              <w:trPr>
                <w:trHeight w:val="375" w:hRule="atLeast"/>
              </w:trPr>
              <w:tc>
                <w:tcPr>
                  <w:tcW w:w="10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2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1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8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BOD</w:t>
                  </w:r>
                  <w:r>
                    <w:rPr>
                      <w:color w:val="auto"/>
                      <w:kern w:val="0"/>
                      <w:szCs w:val="21"/>
                      <w:highlight w:val="none"/>
                      <w:vertAlign w:val="subscript"/>
                      <w:lang w:bidi="ar"/>
                    </w:rPr>
                    <w:t>5</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color w:val="auto"/>
                      <w:kern w:val="0"/>
                      <w:szCs w:val="21"/>
                      <w:highlight w:val="none"/>
                      <w:lang w:bidi="ar"/>
                    </w:rPr>
                    <w:t>10</w:t>
                  </w:r>
                </w:p>
              </w:tc>
            </w:tr>
            <w:tr>
              <w:tblPrEx>
                <w:tblCellMar>
                  <w:top w:w="0" w:type="dxa"/>
                  <w:left w:w="108" w:type="dxa"/>
                  <w:bottom w:w="0" w:type="dxa"/>
                  <w:right w:w="108" w:type="dxa"/>
                </w:tblCellMar>
              </w:tblPrEx>
              <w:trPr>
                <w:trHeight w:val="300" w:hRule="atLeast"/>
              </w:trPr>
              <w:tc>
                <w:tcPr>
                  <w:tcW w:w="10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2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1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8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SS</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color w:val="auto"/>
                      <w:kern w:val="0"/>
                      <w:szCs w:val="21"/>
                      <w:highlight w:val="none"/>
                      <w:lang w:bidi="ar"/>
                    </w:rPr>
                    <w:t>10</w:t>
                  </w:r>
                </w:p>
              </w:tc>
            </w:tr>
            <w:tr>
              <w:tblPrEx>
                <w:tblCellMar>
                  <w:top w:w="0" w:type="dxa"/>
                  <w:left w:w="108" w:type="dxa"/>
                  <w:bottom w:w="0" w:type="dxa"/>
                  <w:right w:w="108" w:type="dxa"/>
                </w:tblCellMar>
              </w:tblPrEx>
              <w:trPr>
                <w:trHeight w:val="375" w:hRule="atLeast"/>
              </w:trPr>
              <w:tc>
                <w:tcPr>
                  <w:tcW w:w="10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5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712"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298"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193"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18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color w:val="auto"/>
                      <w:szCs w:val="21"/>
                      <w:highlight w:val="none"/>
                    </w:rPr>
                  </w:pPr>
                </w:p>
              </w:tc>
              <w:tc>
                <w:tcPr>
                  <w:tcW w:w="82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szCs w:val="21"/>
                      <w:highlight w:val="none"/>
                    </w:rPr>
                  </w:pPr>
                  <w:r>
                    <w:rPr>
                      <w:color w:val="auto"/>
                      <w:kern w:val="0"/>
                      <w:szCs w:val="21"/>
                      <w:highlight w:val="none"/>
                      <w:lang w:bidi="ar"/>
                    </w:rPr>
                    <w:t>NH</w:t>
                  </w:r>
                  <w:r>
                    <w:rPr>
                      <w:color w:val="auto"/>
                      <w:kern w:val="0"/>
                      <w:szCs w:val="21"/>
                      <w:highlight w:val="none"/>
                      <w:vertAlign w:val="subscript"/>
                      <w:lang w:bidi="ar"/>
                    </w:rPr>
                    <w:t>3</w:t>
                  </w:r>
                  <w:r>
                    <w:rPr>
                      <w:color w:val="auto"/>
                      <w:kern w:val="0"/>
                      <w:szCs w:val="21"/>
                      <w:highlight w:val="none"/>
                      <w:lang w:bidi="ar"/>
                    </w:rPr>
                    <w:t>-N</w:t>
                  </w:r>
                </w:p>
              </w:tc>
              <w:tc>
                <w:tcPr>
                  <w:tcW w:w="10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color w:val="auto"/>
                      <w:kern w:val="0"/>
                      <w:szCs w:val="21"/>
                      <w:highlight w:val="none"/>
                      <w:lang w:bidi="ar"/>
                    </w:rPr>
                  </w:pPr>
                  <w:r>
                    <w:rPr>
                      <w:color w:val="auto"/>
                      <w:kern w:val="0"/>
                      <w:szCs w:val="21"/>
                      <w:highlight w:val="none"/>
                      <w:lang w:bidi="ar"/>
                    </w:rPr>
                    <w:t>5</w:t>
                  </w:r>
                </w:p>
              </w:tc>
            </w:tr>
          </w:tbl>
          <w:p>
            <w:pPr>
              <w:pStyle w:val="42"/>
              <w:tabs>
                <w:tab w:val="left" w:pos="0"/>
              </w:tabs>
              <w:rPr>
                <w:color w:val="auto"/>
                <w:highlight w:val="none"/>
              </w:rPr>
            </w:pPr>
            <w:r>
              <w:rPr>
                <w:rFonts w:hint="eastAsia"/>
                <w:color w:val="auto"/>
                <w:highlight w:val="none"/>
              </w:rPr>
              <w:t>4.2.2.2 废水治理措施可行性分析</w:t>
            </w:r>
          </w:p>
          <w:p>
            <w:pPr>
              <w:pStyle w:val="32"/>
              <w:ind w:firstLine="480"/>
              <w:rPr>
                <w:color w:val="auto"/>
                <w:highlight w:val="none"/>
              </w:rPr>
            </w:pPr>
            <w:r>
              <w:rPr>
                <w:rFonts w:hint="eastAsia"/>
                <w:color w:val="auto"/>
                <w:highlight w:val="none"/>
              </w:rPr>
              <w:t>1.</w:t>
            </w:r>
            <w:r>
              <w:rPr>
                <w:color w:val="auto"/>
                <w:highlight w:val="none"/>
              </w:rPr>
              <w:t>厂区内废水治理措施可行性分析</w:t>
            </w:r>
          </w:p>
          <w:p>
            <w:pPr>
              <w:pStyle w:val="32"/>
              <w:ind w:firstLine="480"/>
              <w:rPr>
                <w:color w:val="auto"/>
                <w:highlight w:val="none"/>
              </w:rPr>
            </w:pPr>
            <w:r>
              <w:rPr>
                <w:color w:val="auto"/>
                <w:highlight w:val="none"/>
              </w:rPr>
              <w:t>生活污水：根据《村镇生活污染防治最佳可行技术指南（试行）》（HJ-BAT-9）化粪池是利用污水自然沉淀和厌氧发酵原理，去除粪便排水污染的处理设施。沉淀污泥通过厌氧消化，使污泥中的有机物分解稳定，易腐败的生污泥转化为稳定的熟污泥，在改变污泥结构的同时，降低了污泥的含水率。拟建项目采用</w:t>
            </w:r>
            <w:r>
              <w:rPr>
                <w:rFonts w:hint="eastAsia"/>
                <w:color w:val="auto"/>
                <w:highlight w:val="none"/>
                <w:lang w:val="en-US" w:eastAsia="zh-CN"/>
              </w:rPr>
              <w:t>三级</w:t>
            </w:r>
            <w:r>
              <w:rPr>
                <w:color w:val="auto"/>
                <w:highlight w:val="none"/>
              </w:rPr>
              <w:t>化粪池处理生活污水，</w:t>
            </w:r>
            <w:r>
              <w:rPr>
                <w:rFonts w:hint="eastAsia"/>
                <w:color w:val="auto"/>
                <w:highlight w:val="none"/>
              </w:rPr>
              <w:t>化粪池是一种利用沉淀和厌氧发酵的原理，去除生活污水中悬浮性有机物的常用处理设施，属于初级的过渡性生活处理构筑物，其工作过程大致分为四个环节：过滤沉淀-厌氧发酵-固体物分解－粪液排放。根据《排污许可证申请与核发技术规范总则》（HJ942 -2018），项目采用的三级化粪池废水处理工艺属于可行性废水污染治理技术</w:t>
            </w:r>
            <w:r>
              <w:rPr>
                <w:color w:val="auto"/>
                <w:highlight w:val="none"/>
              </w:rPr>
              <w:t>。</w:t>
            </w:r>
          </w:p>
          <w:p>
            <w:pPr>
              <w:pStyle w:val="32"/>
              <w:ind w:firstLine="480"/>
              <w:rPr>
                <w:color w:val="auto"/>
                <w:highlight w:val="none"/>
              </w:rPr>
            </w:pPr>
            <w:r>
              <w:rPr>
                <w:color w:val="auto"/>
                <w:highlight w:val="none"/>
              </w:rPr>
              <w:t>洗车</w:t>
            </w:r>
            <w:r>
              <w:rPr>
                <w:rFonts w:hint="eastAsia"/>
                <w:color w:val="auto"/>
                <w:highlight w:val="none"/>
              </w:rPr>
              <w:t>、洗手、地面冲洗等</w:t>
            </w:r>
            <w:r>
              <w:rPr>
                <w:color w:val="auto"/>
                <w:highlight w:val="none"/>
              </w:rPr>
              <w:t>采用循环水回用方式，不排放废水。</w:t>
            </w:r>
          </w:p>
          <w:p>
            <w:pPr>
              <w:pStyle w:val="32"/>
              <w:ind w:firstLine="480"/>
              <w:rPr>
                <w:color w:val="auto"/>
                <w:highlight w:val="none"/>
              </w:rPr>
            </w:pPr>
            <w:r>
              <w:rPr>
                <w:color w:val="auto"/>
                <w:highlight w:val="none"/>
              </w:rPr>
              <w:t>洗车</w:t>
            </w:r>
            <w:r>
              <w:rPr>
                <w:rFonts w:hint="eastAsia"/>
                <w:color w:val="auto"/>
                <w:highlight w:val="none"/>
              </w:rPr>
              <w:t>、洗手、地面冲洗</w:t>
            </w:r>
            <w:r>
              <w:rPr>
                <w:rFonts w:hint="eastAsia"/>
                <w:color w:val="auto"/>
                <w:highlight w:val="none"/>
                <w:lang w:val="en-US" w:eastAsia="zh-CN"/>
              </w:rPr>
              <w:t>废水</w:t>
            </w:r>
            <w:r>
              <w:rPr>
                <w:rFonts w:hint="eastAsia"/>
                <w:color w:val="auto"/>
                <w:highlight w:val="none"/>
              </w:rPr>
              <w:t>处理：工程车辆被冲洗后，车轮上粘着的铜精矿粉被冲进洗</w:t>
            </w:r>
            <w:r>
              <w:rPr>
                <w:rFonts w:hint="eastAsia"/>
                <w:color w:val="auto"/>
                <w:highlight w:val="none"/>
                <w:lang w:eastAsia="zh-CN"/>
              </w:rPr>
              <w:t>车机</w:t>
            </w:r>
            <w:r>
              <w:rPr>
                <w:rFonts w:hint="eastAsia"/>
                <w:color w:val="auto"/>
                <w:highlight w:val="none"/>
              </w:rPr>
              <w:t>排水沟</w:t>
            </w:r>
            <w:r>
              <w:rPr>
                <w:rFonts w:hint="eastAsia"/>
                <w:color w:val="auto"/>
                <w:highlight w:val="none"/>
                <w:lang w:eastAsia="zh-CN"/>
              </w:rPr>
              <w:t>，洗车机</w:t>
            </w:r>
            <w:r>
              <w:rPr>
                <w:rFonts w:hint="eastAsia"/>
                <w:color w:val="auto"/>
                <w:highlight w:val="none"/>
              </w:rPr>
              <w:t>排水进行沉降处理，回收铜精矿粉。经过沉降处理的洗</w:t>
            </w:r>
            <w:r>
              <w:rPr>
                <w:rFonts w:hint="eastAsia"/>
                <w:color w:val="auto"/>
                <w:highlight w:val="none"/>
                <w:lang w:eastAsia="zh-CN"/>
              </w:rPr>
              <w:t>车机</w:t>
            </w:r>
            <w:r>
              <w:rPr>
                <w:rFonts w:hint="eastAsia"/>
                <w:color w:val="auto"/>
                <w:highlight w:val="none"/>
              </w:rPr>
              <w:t>排水，完全能满足</w:t>
            </w:r>
            <w:r>
              <w:rPr>
                <w:rFonts w:hint="eastAsia"/>
                <w:color w:val="auto"/>
                <w:highlight w:val="none"/>
                <w:lang w:eastAsia="zh-CN"/>
              </w:rPr>
              <w:t>洗车机</w:t>
            </w:r>
            <w:r>
              <w:rPr>
                <w:rFonts w:hint="eastAsia"/>
                <w:color w:val="auto"/>
                <w:highlight w:val="none"/>
              </w:rPr>
              <w:t>的用水要求，应重复回用于</w:t>
            </w:r>
            <w:r>
              <w:rPr>
                <w:rFonts w:hint="eastAsia"/>
                <w:color w:val="auto"/>
                <w:highlight w:val="none"/>
                <w:lang w:eastAsia="zh-CN"/>
              </w:rPr>
              <w:t>洗车机冲洗车辆</w:t>
            </w:r>
            <w:r>
              <w:rPr>
                <w:rFonts w:hint="eastAsia"/>
                <w:color w:val="auto"/>
                <w:highlight w:val="none"/>
              </w:rPr>
              <w:t>。</w:t>
            </w:r>
          </w:p>
          <w:p>
            <w:pPr>
              <w:pStyle w:val="32"/>
              <w:ind w:firstLine="480"/>
              <w:rPr>
                <w:color w:val="auto"/>
                <w:highlight w:val="none"/>
              </w:rPr>
            </w:pPr>
            <w:r>
              <w:rPr>
                <w:rFonts w:hint="eastAsia"/>
                <w:color w:val="auto"/>
                <w:highlight w:val="none"/>
              </w:rPr>
              <w:t>根据宁德保税仓库混矿项目的运行经验，洗</w:t>
            </w:r>
            <w:r>
              <w:rPr>
                <w:rFonts w:hint="eastAsia"/>
                <w:color w:val="auto"/>
                <w:highlight w:val="none"/>
                <w:lang w:eastAsia="zh-CN"/>
              </w:rPr>
              <w:t>车机</w:t>
            </w:r>
            <w:r>
              <w:rPr>
                <w:rFonts w:hint="eastAsia"/>
                <w:color w:val="auto"/>
                <w:highlight w:val="none"/>
              </w:rPr>
              <w:t>排水中的铜精矿粉粒径微小，且有粘性，很难</w:t>
            </w:r>
            <w:r>
              <w:rPr>
                <w:rFonts w:hint="eastAsia"/>
                <w:color w:val="auto"/>
                <w:highlight w:val="none"/>
                <w:lang w:eastAsia="zh-CN"/>
              </w:rPr>
              <w:t>彻</w:t>
            </w:r>
            <w:r>
              <w:rPr>
                <w:rFonts w:hint="eastAsia"/>
                <w:color w:val="auto"/>
                <w:highlight w:val="none"/>
              </w:rPr>
              <w:t>底自然沉降，用压滤机压滤也难以做到泥水切底分离，滤液中含有不能自然沉降的铜精矿粉泥，会严重影响洗</w:t>
            </w:r>
            <w:r>
              <w:rPr>
                <w:rFonts w:hint="eastAsia"/>
                <w:color w:val="auto"/>
                <w:highlight w:val="none"/>
                <w:lang w:eastAsia="zh-CN"/>
              </w:rPr>
              <w:t>车机</w:t>
            </w:r>
            <w:r>
              <w:rPr>
                <w:rFonts w:hint="eastAsia"/>
                <w:color w:val="auto"/>
                <w:highlight w:val="none"/>
              </w:rPr>
              <w:t>的冲洗效果，且精矿粉泥会堵塞压滤机的滤布，影响污水（泥）压滤。</w:t>
            </w:r>
          </w:p>
          <w:p>
            <w:pPr>
              <w:pStyle w:val="32"/>
              <w:ind w:firstLine="480"/>
              <w:rPr>
                <w:color w:val="auto"/>
                <w:highlight w:val="none"/>
              </w:rPr>
            </w:pPr>
            <w:r>
              <w:rPr>
                <w:rFonts w:hint="eastAsia"/>
                <w:color w:val="auto"/>
                <w:highlight w:val="none"/>
              </w:rPr>
              <w:t>为不影响洗</w:t>
            </w:r>
            <w:r>
              <w:rPr>
                <w:rFonts w:hint="eastAsia"/>
                <w:color w:val="auto"/>
                <w:highlight w:val="none"/>
                <w:lang w:eastAsia="zh-CN"/>
              </w:rPr>
              <w:t>车机</w:t>
            </w:r>
            <w:r>
              <w:rPr>
                <w:rFonts w:hint="eastAsia"/>
                <w:color w:val="auto"/>
                <w:highlight w:val="none"/>
              </w:rPr>
              <w:t>的正常运行，洗</w:t>
            </w:r>
            <w:r>
              <w:rPr>
                <w:rFonts w:hint="eastAsia"/>
                <w:color w:val="auto"/>
                <w:highlight w:val="none"/>
                <w:lang w:eastAsia="zh-CN"/>
              </w:rPr>
              <w:t>车机</w:t>
            </w:r>
            <w:r>
              <w:rPr>
                <w:rFonts w:hint="eastAsia"/>
                <w:color w:val="auto"/>
                <w:highlight w:val="none"/>
              </w:rPr>
              <w:t>排水应进行沉淀和泥水分离处理，</w:t>
            </w:r>
            <w:r>
              <w:rPr>
                <w:rFonts w:hint="eastAsia"/>
                <w:color w:val="auto"/>
                <w:highlight w:val="none"/>
                <w:lang w:eastAsia="zh-CN"/>
              </w:rPr>
              <w:t>项目</w:t>
            </w:r>
            <w:r>
              <w:rPr>
                <w:rFonts w:hint="eastAsia"/>
                <w:color w:val="auto"/>
                <w:highlight w:val="none"/>
              </w:rPr>
              <w:t>合用一套复用水处理设施，处理设施构成如下：</w:t>
            </w:r>
          </w:p>
          <w:p>
            <w:pPr>
              <w:pStyle w:val="32"/>
              <w:ind w:firstLine="480"/>
              <w:rPr>
                <w:color w:val="auto"/>
                <w:highlight w:val="none"/>
              </w:rPr>
            </w:pPr>
            <w:r>
              <w:rPr>
                <w:rFonts w:hint="eastAsia"/>
                <w:color w:val="auto"/>
                <w:highlight w:val="none"/>
              </w:rPr>
              <w:t>（1）调节池（初沉池）：</w:t>
            </w:r>
            <w:bookmarkStart w:id="14" w:name="OLE_LINK39"/>
            <w:r>
              <w:rPr>
                <w:rFonts w:hint="eastAsia"/>
                <w:color w:val="auto"/>
                <w:highlight w:val="none"/>
              </w:rPr>
              <w:t>长12米、宽6米，深2米。地下式钢筋砼结构。调节池分为独立的两格，互为备用，当一格清理回收铜精矿粉时，另一格正常工作。每一格调节池配刮泥机一台、</w:t>
            </w:r>
            <w:bookmarkEnd w:id="14"/>
            <w:bookmarkStart w:id="15" w:name="OLE_LINK44"/>
            <w:r>
              <w:rPr>
                <w:rFonts w:hint="eastAsia"/>
                <w:color w:val="auto"/>
                <w:highlight w:val="none"/>
              </w:rPr>
              <w:t>40QW(I)10-10-0.75型潜污泵一台(Q=10m</w:t>
            </w:r>
            <w:r>
              <w:rPr>
                <w:rFonts w:hint="eastAsia"/>
                <w:color w:val="auto"/>
                <w:highlight w:val="none"/>
                <w:vertAlign w:val="superscript"/>
              </w:rPr>
              <w:t>3</w:t>
            </w:r>
            <w:r>
              <w:rPr>
                <w:rFonts w:hint="eastAsia"/>
                <w:color w:val="auto"/>
                <w:highlight w:val="none"/>
              </w:rPr>
              <w:t>/h，H=10m，N=0.75kW),将调节池中的水提升加压输送至</w:t>
            </w:r>
            <w:bookmarkEnd w:id="15"/>
            <w:r>
              <w:rPr>
                <w:rFonts w:hint="eastAsia"/>
                <w:color w:val="auto"/>
                <w:highlight w:val="none"/>
              </w:rPr>
              <w:t>混合反应池中的内螺旋管，另库存一台潜污泵备用。两格调节池合用一台电动葫芦，电动葫芦作用有二：一是刮泥机安装与维修时起吊设备用，二是调节池清理回收铜精矿粉时起吊铜精矿粉用。</w:t>
            </w:r>
          </w:p>
          <w:p>
            <w:pPr>
              <w:pStyle w:val="32"/>
              <w:ind w:firstLine="480"/>
              <w:rPr>
                <w:color w:val="auto"/>
                <w:highlight w:val="none"/>
              </w:rPr>
            </w:pPr>
            <w:r>
              <w:rPr>
                <w:rFonts w:hint="eastAsia"/>
                <w:color w:val="auto"/>
                <w:highlight w:val="none"/>
              </w:rPr>
              <w:t>（2）</w:t>
            </w:r>
            <w:bookmarkStart w:id="16" w:name="OLE_LINK40"/>
            <w:bookmarkStart w:id="17" w:name="OLE_LINK42"/>
            <w:r>
              <w:rPr>
                <w:rFonts w:hint="eastAsia"/>
                <w:color w:val="auto"/>
                <w:highlight w:val="none"/>
              </w:rPr>
              <w:t>混合反应</w:t>
            </w:r>
            <w:bookmarkEnd w:id="16"/>
            <w:r>
              <w:rPr>
                <w:rFonts w:hint="eastAsia"/>
                <w:color w:val="auto"/>
                <w:highlight w:val="none"/>
              </w:rPr>
              <w:t>池</w:t>
            </w:r>
            <w:bookmarkEnd w:id="17"/>
            <w:r>
              <w:rPr>
                <w:rFonts w:hint="eastAsia"/>
                <w:color w:val="auto"/>
                <w:highlight w:val="none"/>
              </w:rPr>
              <w:t>：</w:t>
            </w:r>
            <w:bookmarkStart w:id="18" w:name="OLE_LINK41"/>
            <w:r>
              <w:rPr>
                <w:rFonts w:hint="eastAsia"/>
                <w:color w:val="auto"/>
                <w:highlight w:val="none"/>
              </w:rPr>
              <w:t>长6米、宽6米，深2米。地下式钢筋砼结构。混合反应池分为独立的两格，互为备用，当一格清理回收铜精矿粉时，另一格正常工作。每格混合反应池配刮泥机一台。</w:t>
            </w:r>
            <w:bookmarkEnd w:id="18"/>
            <w:r>
              <w:rPr>
                <w:rFonts w:hint="eastAsia"/>
                <w:color w:val="auto"/>
                <w:highlight w:val="none"/>
                <w:lang w:eastAsia="zh-CN"/>
              </w:rPr>
              <w:t>每</w:t>
            </w:r>
            <w:r>
              <w:rPr>
                <w:rFonts w:hint="eastAsia"/>
                <w:color w:val="auto"/>
                <w:highlight w:val="none"/>
              </w:rPr>
              <w:t>格混合反应池进水口处安装1.5米长DN150内螺旋管1根，在内螺旋管中加入0.3%的PAM溶液，与来自调节池中水充分混合。混合液自流进二沉池。</w:t>
            </w:r>
          </w:p>
          <w:p>
            <w:pPr>
              <w:pStyle w:val="32"/>
              <w:ind w:firstLine="480"/>
              <w:rPr>
                <w:color w:val="auto"/>
                <w:highlight w:val="none"/>
              </w:rPr>
            </w:pPr>
            <w:r>
              <w:rPr>
                <w:rFonts w:hint="eastAsia"/>
                <w:color w:val="auto"/>
                <w:highlight w:val="none"/>
              </w:rPr>
              <w:t>（3）二沉池：</w:t>
            </w:r>
            <w:bookmarkStart w:id="19" w:name="OLE_LINK47"/>
            <w:r>
              <w:rPr>
                <w:rFonts w:hint="eastAsia"/>
                <w:color w:val="auto"/>
                <w:highlight w:val="none"/>
              </w:rPr>
              <w:t>长12米、宽6米，深2米。地下式钢筋砼结构。</w:t>
            </w:r>
            <w:bookmarkEnd w:id="19"/>
            <w:r>
              <w:rPr>
                <w:rFonts w:hint="eastAsia"/>
                <w:color w:val="auto"/>
                <w:highlight w:val="none"/>
              </w:rPr>
              <w:t>二沉池分为独立的两格，互为备用，当一格清理回收铜精矿粉时，另一格正常工作。</w:t>
            </w:r>
            <w:bookmarkStart w:id="20" w:name="OLE_LINK45"/>
            <w:r>
              <w:rPr>
                <w:rFonts w:hint="eastAsia"/>
                <w:color w:val="auto"/>
                <w:highlight w:val="none"/>
              </w:rPr>
              <w:t>每格二沉池</w:t>
            </w:r>
            <w:bookmarkEnd w:id="20"/>
            <w:r>
              <w:rPr>
                <w:rFonts w:hint="eastAsia"/>
                <w:color w:val="auto"/>
                <w:highlight w:val="none"/>
              </w:rPr>
              <w:t>配刮泥机一台，混合反应池、二沉池合用一台电动葫芦。每格二沉池末端设50QW(I)10-30-3型潜污泵一台(</w:t>
            </w:r>
            <w:bookmarkStart w:id="21" w:name="OLE_LINK48"/>
            <w:r>
              <w:rPr>
                <w:rFonts w:hint="eastAsia"/>
                <w:color w:val="auto"/>
                <w:highlight w:val="none"/>
              </w:rPr>
              <w:t>Q=10m3/h，H=30m，N=3.0kW</w:t>
            </w:r>
            <w:bookmarkEnd w:id="21"/>
            <w:r>
              <w:rPr>
                <w:rFonts w:hint="eastAsia"/>
                <w:color w:val="auto"/>
                <w:highlight w:val="none"/>
              </w:rPr>
              <w:t>),将二沉池中的水提升加压输送至</w:t>
            </w:r>
            <w:bookmarkStart w:id="22" w:name="OLE_LINK46"/>
            <w:r>
              <w:rPr>
                <w:rFonts w:hint="eastAsia"/>
                <w:color w:val="auto"/>
                <w:highlight w:val="none"/>
              </w:rPr>
              <w:t>石英砂过滤器</w:t>
            </w:r>
            <w:bookmarkEnd w:id="22"/>
            <w:r>
              <w:rPr>
                <w:rFonts w:hint="eastAsia"/>
                <w:color w:val="auto"/>
                <w:highlight w:val="none"/>
              </w:rPr>
              <w:t>。石英砂过滤器2台（互为备用，一台反冲洗时，另一台正常工作），型号为XYQ-1200</w:t>
            </w:r>
            <w:r>
              <w:rPr>
                <w:rFonts w:hint="eastAsia"/>
                <w:color w:val="auto"/>
                <w:highlight w:val="none"/>
                <w:lang w:eastAsia="zh-CN"/>
              </w:rPr>
              <w:t>，</w:t>
            </w:r>
            <w:r>
              <w:rPr>
                <w:rFonts w:hint="eastAsia"/>
                <w:color w:val="auto"/>
                <w:highlight w:val="none"/>
              </w:rPr>
              <w:t>直径φ1200，高H4000，处理量10m</w:t>
            </w:r>
            <w:r>
              <w:rPr>
                <w:rFonts w:hint="eastAsia"/>
                <w:color w:val="auto"/>
                <w:highlight w:val="none"/>
                <w:vertAlign w:val="superscript"/>
              </w:rPr>
              <w:t>3</w:t>
            </w:r>
            <w:r>
              <w:rPr>
                <w:rFonts w:hint="eastAsia"/>
                <w:color w:val="auto"/>
                <w:highlight w:val="none"/>
              </w:rPr>
              <w:t>/h。石英砂过滤器的滤液利用余压自流进清水池。</w:t>
            </w:r>
          </w:p>
          <w:p>
            <w:pPr>
              <w:pStyle w:val="32"/>
              <w:ind w:firstLine="480"/>
              <w:rPr>
                <w:color w:val="auto"/>
                <w:highlight w:val="none"/>
              </w:rPr>
            </w:pPr>
            <w:r>
              <w:rPr>
                <w:rFonts w:hint="eastAsia"/>
                <w:color w:val="auto"/>
                <w:highlight w:val="none"/>
              </w:rPr>
              <w:t>（4）清水池：长7.5米、宽6米，深2米，地下式钢筋砼结构。清水池配立式长轴泵三台（2用1备），Q=12m</w:t>
            </w:r>
            <w:r>
              <w:rPr>
                <w:rFonts w:hint="eastAsia"/>
                <w:color w:val="auto"/>
                <w:highlight w:val="none"/>
                <w:vertAlign w:val="superscript"/>
              </w:rPr>
              <w:t>3</w:t>
            </w:r>
            <w:r>
              <w:rPr>
                <w:rFonts w:hint="eastAsia"/>
                <w:color w:val="auto"/>
                <w:highlight w:val="none"/>
              </w:rPr>
              <w:t>/h，H=64m，N=5.5kW。稳压罐（Ф800，高1.5m，V=600L，P=0.90MPa，工作压力比为0.6）一个。平时由稳压罐维持系统水压，当一台</w:t>
            </w:r>
            <w:r>
              <w:rPr>
                <w:rFonts w:hint="eastAsia"/>
                <w:color w:val="auto"/>
                <w:highlight w:val="none"/>
                <w:lang w:eastAsia="zh-CN"/>
              </w:rPr>
              <w:t>洗车机</w:t>
            </w:r>
            <w:r>
              <w:rPr>
                <w:rFonts w:hint="eastAsia"/>
                <w:color w:val="auto"/>
                <w:highlight w:val="none"/>
              </w:rPr>
              <w:t>工作时，开启一台泵，两台</w:t>
            </w:r>
            <w:r>
              <w:rPr>
                <w:rFonts w:hint="eastAsia"/>
                <w:color w:val="auto"/>
                <w:highlight w:val="none"/>
                <w:lang w:eastAsia="zh-CN"/>
              </w:rPr>
              <w:t>洗车机</w:t>
            </w:r>
            <w:r>
              <w:rPr>
                <w:rFonts w:hint="eastAsia"/>
                <w:color w:val="auto"/>
                <w:highlight w:val="none"/>
              </w:rPr>
              <w:t>同时工作时，开启两台泵。</w:t>
            </w:r>
          </w:p>
          <w:p>
            <w:pPr>
              <w:pStyle w:val="32"/>
              <w:ind w:firstLine="480"/>
              <w:rPr>
                <w:color w:val="auto"/>
                <w:highlight w:val="none"/>
              </w:rPr>
            </w:pPr>
            <w:r>
              <w:rPr>
                <w:color w:val="auto"/>
                <w:highlight w:val="none"/>
              </w:rPr>
              <w:t>洗车</w:t>
            </w:r>
            <w:r>
              <w:rPr>
                <w:rFonts w:hint="eastAsia"/>
                <w:color w:val="auto"/>
                <w:highlight w:val="none"/>
              </w:rPr>
              <w:t>、洗手、地面冲洗等</w:t>
            </w:r>
            <w:r>
              <w:rPr>
                <w:color w:val="auto"/>
                <w:highlight w:val="none"/>
              </w:rPr>
              <w:t>主要污染物为SS、</w:t>
            </w:r>
            <w:r>
              <w:rPr>
                <w:rFonts w:hint="eastAsia"/>
                <w:color w:val="auto"/>
                <w:highlight w:val="none"/>
              </w:rPr>
              <w:t>铜矿粉、</w:t>
            </w:r>
            <w:r>
              <w:rPr>
                <w:color w:val="auto"/>
                <w:highlight w:val="none"/>
              </w:rPr>
              <w:t>石油类，经沉淀</w:t>
            </w:r>
            <w:r>
              <w:rPr>
                <w:rFonts w:hint="eastAsia"/>
                <w:color w:val="auto"/>
                <w:highlight w:val="none"/>
              </w:rPr>
              <w:t>过滤</w:t>
            </w:r>
            <w:r>
              <w:rPr>
                <w:color w:val="auto"/>
                <w:highlight w:val="none"/>
              </w:rPr>
              <w:t>处理后，废水中SS＜30mg/L，可以保证洗车用水的清澈度，避免在车辆表面留下明显污渍，处理后废水中石油类&lt;5mg/L，可以防止油脂在车辆表面形成油膜，影响车辆外观和漆面质量。因此洗车</w:t>
            </w:r>
            <w:r>
              <w:rPr>
                <w:rFonts w:hint="eastAsia"/>
                <w:color w:val="auto"/>
                <w:highlight w:val="none"/>
              </w:rPr>
              <w:t>、洗手、地面冲洗等</w:t>
            </w:r>
            <w:r>
              <w:rPr>
                <w:color w:val="auto"/>
                <w:highlight w:val="none"/>
              </w:rPr>
              <w:t>废水经沉淀后可循环使用。</w:t>
            </w:r>
          </w:p>
          <w:p>
            <w:pPr>
              <w:pStyle w:val="32"/>
              <w:ind w:firstLine="480"/>
              <w:rPr>
                <w:color w:val="auto"/>
                <w:highlight w:val="none"/>
              </w:rPr>
            </w:pPr>
            <w:r>
              <w:rPr>
                <w:color w:val="auto"/>
                <w:highlight w:val="none"/>
              </w:rPr>
              <w:t>初期雨水主要污染物来自洒落原料带入，经沉淀</w:t>
            </w:r>
            <w:r>
              <w:rPr>
                <w:rFonts w:hint="eastAsia"/>
                <w:color w:val="auto"/>
                <w:highlight w:val="none"/>
              </w:rPr>
              <w:t>过滤</w:t>
            </w:r>
            <w:r>
              <w:rPr>
                <w:color w:val="auto"/>
                <w:highlight w:val="none"/>
              </w:rPr>
              <w:t>处理后，SS降至30mg/L以下，能够满足洒水抑尘用水对水质的要求；初期雨水产生量</w:t>
            </w:r>
            <w:r>
              <w:rPr>
                <w:rFonts w:hint="eastAsia"/>
                <w:color w:val="auto"/>
                <w:highlight w:val="none"/>
                <w:lang w:val="en-US" w:eastAsia="zh-CN"/>
              </w:rPr>
              <w:t>246.415</w:t>
            </w:r>
            <w:r>
              <w:rPr>
                <w:color w:val="auto"/>
                <w:highlight w:val="none"/>
              </w:rPr>
              <w:t>t/次</w:t>
            </w:r>
            <w:r>
              <w:rPr>
                <w:rFonts w:hint="eastAsia"/>
                <w:color w:val="auto"/>
                <w:highlight w:val="none"/>
                <w:lang w:eastAsia="zh-CN"/>
              </w:rPr>
              <w:t>，</w:t>
            </w:r>
            <w:r>
              <w:rPr>
                <w:rFonts w:hint="eastAsia"/>
                <w:color w:val="auto"/>
                <w:highlight w:val="none"/>
                <w:lang w:val="en-US" w:eastAsia="zh-CN"/>
              </w:rPr>
              <w:t>根据前文水平衡分析，本项目</w:t>
            </w:r>
            <w:r>
              <w:rPr>
                <w:rFonts w:hint="eastAsia"/>
                <w:color w:val="auto"/>
                <w:highlight w:val="none"/>
              </w:rPr>
              <w:t>地面冲洗用水</w:t>
            </w:r>
            <w:r>
              <w:rPr>
                <w:rFonts w:hint="eastAsia"/>
                <w:color w:val="auto"/>
                <w:highlight w:val="none"/>
                <w:lang w:val="en-US" w:eastAsia="zh-CN"/>
              </w:rPr>
              <w:t>0.2</w:t>
            </w:r>
            <w:r>
              <w:rPr>
                <w:rFonts w:hint="eastAsia"/>
                <w:color w:val="auto"/>
                <w:highlight w:val="none"/>
              </w:rPr>
              <w:t>m</w:t>
            </w:r>
            <w:r>
              <w:rPr>
                <w:rFonts w:hint="eastAsia"/>
                <w:color w:val="auto"/>
                <w:highlight w:val="none"/>
                <w:vertAlign w:val="superscript"/>
              </w:rPr>
              <w:t>3</w:t>
            </w:r>
            <w:r>
              <w:rPr>
                <w:rFonts w:hint="eastAsia"/>
                <w:color w:val="auto"/>
                <w:highlight w:val="none"/>
              </w:rPr>
              <w:t>/d，抑尘用水</w:t>
            </w:r>
            <w:r>
              <w:rPr>
                <w:rFonts w:hint="eastAsia"/>
                <w:color w:val="auto"/>
                <w:highlight w:val="none"/>
                <w:lang w:val="en-US" w:eastAsia="zh-CN"/>
              </w:rPr>
              <w:t>59.6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，车辆冲洗用水9.36</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，合计68.98</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，5日用水量为344.9</w:t>
            </w:r>
            <w:r>
              <w:rPr>
                <w:rFonts w:hint="eastAsia"/>
                <w:color w:val="auto"/>
                <w:highlight w:val="none"/>
              </w:rPr>
              <w:t>m</w:t>
            </w:r>
            <w:r>
              <w:rPr>
                <w:rFonts w:hint="eastAsia"/>
                <w:color w:val="auto"/>
                <w:highlight w:val="none"/>
                <w:vertAlign w:val="superscript"/>
              </w:rPr>
              <w:t>3</w:t>
            </w:r>
            <w:r>
              <w:rPr>
                <w:rFonts w:hint="eastAsia"/>
                <w:color w:val="auto"/>
                <w:highlight w:val="none"/>
              </w:rPr>
              <w:t>/d</w:t>
            </w:r>
            <w:r>
              <w:rPr>
                <w:rFonts w:hint="eastAsia"/>
                <w:color w:val="auto"/>
                <w:highlight w:val="none"/>
                <w:lang w:val="en-US" w:eastAsia="zh-CN"/>
              </w:rPr>
              <w:t>，</w:t>
            </w:r>
            <w:r>
              <w:rPr>
                <w:color w:val="auto"/>
                <w:highlight w:val="none"/>
              </w:rPr>
              <w:t>根据《有色金属工业环境保护工程设计规范》（GB50988-2014）的相关要求，收集的初期雨水应当在5日内全部利用</w:t>
            </w:r>
            <w:r>
              <w:rPr>
                <w:rFonts w:hint="eastAsia"/>
                <w:color w:val="auto"/>
                <w:highlight w:val="none"/>
              </w:rPr>
              <w:t>，5日冲洗用水</w:t>
            </w:r>
            <w:r>
              <w:rPr>
                <w:rFonts w:hint="eastAsia"/>
                <w:color w:val="auto"/>
                <w:highlight w:val="none"/>
                <w:lang w:val="en-US" w:eastAsia="zh-CN"/>
              </w:rPr>
              <w:t>和</w:t>
            </w:r>
            <w:r>
              <w:rPr>
                <w:color w:val="auto"/>
                <w:highlight w:val="none"/>
              </w:rPr>
              <w:t>抑尘用水量</w:t>
            </w:r>
            <w:r>
              <w:rPr>
                <w:rFonts w:hint="eastAsia"/>
                <w:color w:val="auto"/>
                <w:highlight w:val="none"/>
              </w:rPr>
              <w:t>为</w:t>
            </w:r>
            <w:r>
              <w:rPr>
                <w:rFonts w:hint="eastAsia"/>
                <w:color w:val="auto"/>
                <w:highlight w:val="none"/>
                <w:lang w:val="en-US" w:eastAsia="zh-CN"/>
              </w:rPr>
              <w:t>344.9</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rFonts w:hint="eastAsia"/>
                <w:color w:val="auto"/>
                <w:highlight w:val="none"/>
                <w:lang w:val="en-US" w:eastAsia="zh-CN"/>
              </w:rPr>
              <w:t>大于246.415</w:t>
            </w:r>
            <w:r>
              <w:rPr>
                <w:rFonts w:hint="eastAsia"/>
                <w:color w:val="auto"/>
                <w:highlight w:val="none"/>
              </w:rPr>
              <w:t>m</w:t>
            </w:r>
            <w:r>
              <w:rPr>
                <w:rFonts w:hint="eastAsia"/>
                <w:color w:val="auto"/>
                <w:highlight w:val="none"/>
                <w:vertAlign w:val="superscript"/>
              </w:rPr>
              <w:t>3</w:t>
            </w:r>
            <w:r>
              <w:rPr>
                <w:rFonts w:hint="eastAsia"/>
                <w:color w:val="auto"/>
                <w:highlight w:val="none"/>
                <w:vertAlign w:val="baseline"/>
                <w:lang w:val="en-US" w:eastAsia="zh-CN"/>
              </w:rPr>
              <w:t>的初期雨水量</w:t>
            </w:r>
            <w:r>
              <w:rPr>
                <w:rFonts w:hint="eastAsia"/>
                <w:color w:val="auto"/>
                <w:highlight w:val="none"/>
                <w:lang w:val="en-US" w:eastAsia="zh-CN"/>
              </w:rPr>
              <w:t>，</w:t>
            </w:r>
            <w:r>
              <w:rPr>
                <w:rFonts w:hint="eastAsia"/>
                <w:color w:val="auto"/>
                <w:highlight w:val="none"/>
              </w:rPr>
              <w:t>则初期雨水</w:t>
            </w:r>
            <w:r>
              <w:rPr>
                <w:color w:val="auto"/>
                <w:highlight w:val="none"/>
              </w:rPr>
              <w:t>可以全部</w:t>
            </w:r>
            <w:r>
              <w:rPr>
                <w:rFonts w:hint="eastAsia"/>
                <w:color w:val="auto"/>
                <w:highlight w:val="none"/>
              </w:rPr>
              <w:t>回用于车辆清洗、地面冲洗用水、干雾抑尘用水</w:t>
            </w:r>
            <w:r>
              <w:rPr>
                <w:color w:val="auto"/>
                <w:highlight w:val="none"/>
              </w:rPr>
              <w:t>。</w:t>
            </w:r>
          </w:p>
          <w:p>
            <w:pPr>
              <w:pStyle w:val="32"/>
              <w:ind w:firstLine="480"/>
              <w:rPr>
                <w:color w:val="auto"/>
                <w:highlight w:val="none"/>
              </w:rPr>
            </w:pPr>
            <w:r>
              <w:rPr>
                <w:rFonts w:hint="eastAsia"/>
                <w:color w:val="auto"/>
                <w:highlight w:val="none"/>
              </w:rPr>
              <w:t>2.生活污水依托漳湾临港工业区临时一体化污水处理厂处理可行性分析</w:t>
            </w:r>
          </w:p>
          <w:p>
            <w:pPr>
              <w:pStyle w:val="64"/>
              <w:ind w:firstLine="480"/>
              <w:rPr>
                <w:color w:val="auto"/>
                <w:highlight w:val="none"/>
              </w:rPr>
            </w:pPr>
            <w:r>
              <w:rPr>
                <w:rFonts w:hint="eastAsia"/>
                <w:color w:val="auto"/>
                <w:highlight w:val="none"/>
              </w:rPr>
              <w:t>（1）漳湾临港工业区临时一体化污水处理厂基本情况</w:t>
            </w:r>
          </w:p>
          <w:p>
            <w:pPr>
              <w:pStyle w:val="64"/>
              <w:ind w:firstLine="480"/>
              <w:rPr>
                <w:color w:val="auto"/>
                <w:szCs w:val="24"/>
                <w:highlight w:val="none"/>
              </w:rPr>
            </w:pPr>
            <w:r>
              <w:rPr>
                <w:color w:val="auto"/>
                <w:szCs w:val="24"/>
                <w:highlight w:val="none"/>
              </w:rPr>
              <w:t>目前园区的污水处理厂为漳湾临港工业区园区临时一体化污水处理厂，根据“关于研究宁德福浦铜铝精深加工项目有关工作的纪要”（宁德市重点建设工程领导小组办公室专题会议纪要</w:t>
            </w:r>
            <w:r>
              <w:rPr>
                <w:rFonts w:hint="eastAsia"/>
                <w:color w:val="auto"/>
                <w:szCs w:val="24"/>
                <w:highlight w:val="none"/>
              </w:rPr>
              <w:t>〔2020〕1号</w:t>
            </w:r>
            <w:r>
              <w:rPr>
                <w:color w:val="auto"/>
                <w:szCs w:val="24"/>
                <w:highlight w:val="none"/>
              </w:rPr>
              <w:t>），拟在漳湾临港工业区内建设临时一体化污水处理厂，收集</w:t>
            </w:r>
            <w:r>
              <w:rPr>
                <w:rFonts w:hint="eastAsia"/>
                <w:color w:val="auto"/>
                <w:szCs w:val="24"/>
                <w:highlight w:val="none"/>
              </w:rPr>
              <w:t>国际物流中心、</w:t>
            </w:r>
            <w:r>
              <w:rPr>
                <w:color w:val="auto"/>
                <w:szCs w:val="24"/>
                <w:highlight w:val="none"/>
              </w:rPr>
              <w:t>宁德福浦、中铜东南铜业有限公司等的生产废水、生活污水。</w:t>
            </w:r>
          </w:p>
          <w:p>
            <w:pPr>
              <w:pStyle w:val="30"/>
              <w:ind w:firstLine="480"/>
              <w:rPr>
                <w:color w:val="auto"/>
                <w:szCs w:val="24"/>
                <w:highlight w:val="none"/>
              </w:rPr>
            </w:pPr>
            <w:r>
              <w:rPr>
                <w:color w:val="auto"/>
                <w:szCs w:val="24"/>
                <w:highlight w:val="none"/>
              </w:rPr>
              <w:t>漳湾临港工业区临时一体化污水处理厂位于</w:t>
            </w:r>
            <w:r>
              <w:rPr>
                <w:rFonts w:hint="eastAsia"/>
                <w:color w:val="auto"/>
                <w:szCs w:val="24"/>
                <w:highlight w:val="none"/>
              </w:rPr>
              <w:t>东南铜业西南侧</w:t>
            </w:r>
            <w:r>
              <w:rPr>
                <w:color w:val="auto"/>
                <w:szCs w:val="24"/>
                <w:highlight w:val="none"/>
              </w:rPr>
              <w:t>地块。</w:t>
            </w:r>
            <w:r>
              <w:rPr>
                <w:rFonts w:hint="eastAsia"/>
                <w:color w:val="auto"/>
                <w:szCs w:val="24"/>
                <w:highlight w:val="none"/>
              </w:rPr>
              <w:t>污水处理厂</w:t>
            </w:r>
            <w:r>
              <w:rPr>
                <w:color w:val="auto"/>
                <w:szCs w:val="24"/>
                <w:highlight w:val="none"/>
              </w:rPr>
              <w:t>设计规模1万</w:t>
            </w:r>
            <w:r>
              <w:rPr>
                <w:color w:val="auto"/>
                <w:sz w:val="21"/>
                <w:highlight w:val="none"/>
              </w:rPr>
              <w:t>m³/d</w:t>
            </w:r>
            <w:r>
              <w:rPr>
                <w:color w:val="auto"/>
                <w:szCs w:val="24"/>
                <w:highlight w:val="none"/>
              </w:rPr>
              <w:t>，分期建设，一期建设3000</w:t>
            </w:r>
            <w:r>
              <w:rPr>
                <w:color w:val="auto"/>
                <w:sz w:val="21"/>
                <w:highlight w:val="none"/>
              </w:rPr>
              <w:t>m³/d</w:t>
            </w:r>
            <w:r>
              <w:rPr>
                <w:color w:val="auto"/>
                <w:szCs w:val="24"/>
                <w:highlight w:val="none"/>
              </w:rPr>
              <w:t>，</w:t>
            </w:r>
            <w:r>
              <w:rPr>
                <w:rFonts w:hint="eastAsia"/>
                <w:color w:val="auto"/>
                <w:szCs w:val="24"/>
                <w:highlight w:val="none"/>
              </w:rPr>
              <w:t>二期建设</w:t>
            </w:r>
            <w:r>
              <w:rPr>
                <w:color w:val="auto"/>
                <w:szCs w:val="24"/>
                <w:highlight w:val="none"/>
              </w:rPr>
              <w:t>根据企业的排水情况进行建设。根据</w:t>
            </w:r>
            <w:r>
              <w:rPr>
                <w:rFonts w:hint="eastAsia"/>
                <w:color w:val="auto"/>
                <w:szCs w:val="24"/>
                <w:highlight w:val="none"/>
              </w:rPr>
              <w:t>污水处理厂</w:t>
            </w:r>
            <w:r>
              <w:rPr>
                <w:color w:val="auto"/>
                <w:szCs w:val="24"/>
                <w:highlight w:val="none"/>
              </w:rPr>
              <w:t>提供的设计材料，</w:t>
            </w:r>
            <w:r>
              <w:rPr>
                <w:rFonts w:hint="eastAsia"/>
                <w:color w:val="auto"/>
                <w:szCs w:val="24"/>
                <w:highlight w:val="none"/>
              </w:rPr>
              <w:t>污水处理厂</w:t>
            </w:r>
            <w:r>
              <w:rPr>
                <w:color w:val="auto"/>
                <w:szCs w:val="24"/>
                <w:highlight w:val="none"/>
              </w:rPr>
              <w:t>服务范围内的企业及排水量详见表4.2</w:t>
            </w:r>
            <w:r>
              <w:rPr>
                <w:rFonts w:hint="eastAsia"/>
                <w:color w:val="auto"/>
                <w:szCs w:val="24"/>
                <w:highlight w:val="none"/>
              </w:rPr>
              <w:t>.</w:t>
            </w:r>
            <w:r>
              <w:rPr>
                <w:rFonts w:hint="eastAsia"/>
                <w:color w:val="auto"/>
                <w:szCs w:val="24"/>
                <w:highlight w:val="none"/>
                <w:lang w:val="en-US" w:eastAsia="zh-CN"/>
              </w:rPr>
              <w:t>20</w:t>
            </w:r>
            <w:r>
              <w:rPr>
                <w:color w:val="auto"/>
                <w:szCs w:val="24"/>
                <w:highlight w:val="none"/>
              </w:rPr>
              <w:t>。</w:t>
            </w:r>
          </w:p>
          <w:p>
            <w:pPr>
              <w:pStyle w:val="36"/>
              <w:rPr>
                <w:color w:val="auto"/>
                <w:highlight w:val="none"/>
              </w:rPr>
            </w:pPr>
            <w:r>
              <w:rPr>
                <w:color w:val="auto"/>
                <w:highlight w:val="none"/>
              </w:rPr>
              <w:t>表4.2</w:t>
            </w:r>
            <w:r>
              <w:rPr>
                <w:rFonts w:hint="eastAsia"/>
                <w:color w:val="auto"/>
                <w:highlight w:val="none"/>
              </w:rPr>
              <w:t>.</w:t>
            </w:r>
            <w:r>
              <w:rPr>
                <w:rFonts w:hint="eastAsia"/>
                <w:color w:val="auto"/>
                <w:highlight w:val="none"/>
                <w:lang w:val="en-US" w:eastAsia="zh-CN"/>
              </w:rPr>
              <w:t>20</w:t>
            </w:r>
            <w:r>
              <w:rPr>
                <w:rFonts w:hint="eastAsia"/>
                <w:color w:val="auto"/>
                <w:highlight w:val="none"/>
              </w:rPr>
              <w:t xml:space="preserve">  </w:t>
            </w:r>
            <w:r>
              <w:rPr>
                <w:color w:val="auto"/>
                <w:highlight w:val="none"/>
              </w:rPr>
              <w:t>污水处理厂纳污企业</w:t>
            </w:r>
          </w:p>
          <w:tbl>
            <w:tblPr>
              <w:tblStyle w:val="21"/>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3681"/>
              <w:gridCol w:w="2289"/>
              <w:gridCol w:w="2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895" w:type="dxa"/>
                  <w:vAlign w:val="center"/>
                </w:tcPr>
                <w:p>
                  <w:pPr>
                    <w:pStyle w:val="30"/>
                    <w:spacing w:line="240" w:lineRule="auto"/>
                    <w:ind w:firstLine="0" w:firstLineChars="0"/>
                    <w:jc w:val="center"/>
                    <w:rPr>
                      <w:color w:val="auto"/>
                      <w:sz w:val="21"/>
                      <w:highlight w:val="none"/>
                    </w:rPr>
                  </w:pPr>
                  <w:r>
                    <w:rPr>
                      <w:color w:val="auto"/>
                      <w:sz w:val="21"/>
                      <w:highlight w:val="none"/>
                    </w:rPr>
                    <w:t>序号</w:t>
                  </w:r>
                </w:p>
              </w:tc>
              <w:tc>
                <w:tcPr>
                  <w:tcW w:w="3748" w:type="dxa"/>
                  <w:vAlign w:val="center"/>
                </w:tcPr>
                <w:p>
                  <w:pPr>
                    <w:pStyle w:val="30"/>
                    <w:spacing w:line="240" w:lineRule="auto"/>
                    <w:ind w:firstLine="0" w:firstLineChars="0"/>
                    <w:jc w:val="center"/>
                    <w:rPr>
                      <w:color w:val="auto"/>
                      <w:sz w:val="21"/>
                      <w:highlight w:val="none"/>
                    </w:rPr>
                  </w:pPr>
                  <w:r>
                    <w:rPr>
                      <w:color w:val="auto"/>
                      <w:sz w:val="21"/>
                      <w:highlight w:val="none"/>
                    </w:rPr>
                    <w:t>企业</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排水量m³/d</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建设性质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95" w:type="dxa"/>
                  <w:vAlign w:val="center"/>
                </w:tcPr>
                <w:p>
                  <w:pPr>
                    <w:pStyle w:val="30"/>
                    <w:spacing w:line="240" w:lineRule="auto"/>
                    <w:ind w:firstLine="0" w:firstLineChars="0"/>
                    <w:jc w:val="center"/>
                    <w:rPr>
                      <w:color w:val="auto"/>
                      <w:sz w:val="21"/>
                      <w:highlight w:val="none"/>
                    </w:rPr>
                  </w:pPr>
                  <w:r>
                    <w:rPr>
                      <w:color w:val="auto"/>
                      <w:sz w:val="21"/>
                      <w:highlight w:val="none"/>
                    </w:rPr>
                    <w:t>1</w:t>
                  </w:r>
                </w:p>
              </w:tc>
              <w:tc>
                <w:tcPr>
                  <w:tcW w:w="3748" w:type="dxa"/>
                  <w:vAlign w:val="center"/>
                </w:tcPr>
                <w:p>
                  <w:pPr>
                    <w:pStyle w:val="30"/>
                    <w:spacing w:line="240" w:lineRule="auto"/>
                    <w:ind w:firstLine="0" w:firstLineChars="0"/>
                    <w:jc w:val="center"/>
                    <w:rPr>
                      <w:color w:val="auto"/>
                      <w:sz w:val="21"/>
                      <w:highlight w:val="none"/>
                    </w:rPr>
                  </w:pPr>
                  <w:r>
                    <w:rPr>
                      <w:color w:val="auto"/>
                      <w:sz w:val="21"/>
                      <w:highlight w:val="none"/>
                    </w:rPr>
                    <w:t>宁德国际物流中心项目</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65.2</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95" w:type="dxa"/>
                  <w:vAlign w:val="center"/>
                </w:tcPr>
                <w:p>
                  <w:pPr>
                    <w:pStyle w:val="30"/>
                    <w:spacing w:line="240" w:lineRule="auto"/>
                    <w:ind w:firstLine="0" w:firstLineChars="0"/>
                    <w:jc w:val="center"/>
                    <w:rPr>
                      <w:color w:val="auto"/>
                      <w:sz w:val="21"/>
                      <w:highlight w:val="none"/>
                    </w:rPr>
                  </w:pPr>
                  <w:r>
                    <w:rPr>
                      <w:color w:val="auto"/>
                      <w:sz w:val="21"/>
                      <w:highlight w:val="none"/>
                    </w:rPr>
                    <w:t>2</w:t>
                  </w:r>
                </w:p>
              </w:tc>
              <w:tc>
                <w:tcPr>
                  <w:tcW w:w="3748" w:type="dxa"/>
                  <w:vAlign w:val="center"/>
                </w:tcPr>
                <w:p>
                  <w:pPr>
                    <w:pStyle w:val="30"/>
                    <w:spacing w:line="240" w:lineRule="auto"/>
                    <w:ind w:firstLine="0" w:firstLineChars="0"/>
                    <w:jc w:val="center"/>
                    <w:rPr>
                      <w:color w:val="auto"/>
                      <w:sz w:val="21"/>
                      <w:highlight w:val="none"/>
                    </w:rPr>
                  </w:pPr>
                  <w:r>
                    <w:rPr>
                      <w:color w:val="auto"/>
                      <w:sz w:val="21"/>
                      <w:highlight w:val="none"/>
                    </w:rPr>
                    <w:t>福建声荣环保科技有限公司</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7.2</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895" w:type="dxa"/>
                  <w:vAlign w:val="center"/>
                </w:tcPr>
                <w:p>
                  <w:pPr>
                    <w:pStyle w:val="30"/>
                    <w:spacing w:line="240" w:lineRule="auto"/>
                    <w:ind w:firstLine="0" w:firstLineChars="0"/>
                    <w:jc w:val="center"/>
                    <w:rPr>
                      <w:color w:val="auto"/>
                      <w:sz w:val="21"/>
                      <w:highlight w:val="none"/>
                    </w:rPr>
                  </w:pPr>
                  <w:r>
                    <w:rPr>
                      <w:color w:val="auto"/>
                      <w:sz w:val="21"/>
                      <w:highlight w:val="none"/>
                    </w:rPr>
                    <w:t>3</w:t>
                  </w:r>
                </w:p>
              </w:tc>
              <w:tc>
                <w:tcPr>
                  <w:tcW w:w="3748" w:type="dxa"/>
                  <w:vAlign w:val="center"/>
                </w:tcPr>
                <w:p>
                  <w:pPr>
                    <w:pStyle w:val="30"/>
                    <w:spacing w:line="240" w:lineRule="auto"/>
                    <w:ind w:firstLine="0" w:firstLineChars="0"/>
                    <w:jc w:val="center"/>
                    <w:rPr>
                      <w:color w:val="auto"/>
                      <w:sz w:val="21"/>
                      <w:highlight w:val="none"/>
                    </w:rPr>
                  </w:pPr>
                  <w:r>
                    <w:rPr>
                      <w:color w:val="auto"/>
                      <w:sz w:val="21"/>
                      <w:highlight w:val="none"/>
                    </w:rPr>
                    <w:t>中铜东南铜业有限公司</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250</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895" w:type="dxa"/>
                  <w:vAlign w:val="center"/>
                </w:tcPr>
                <w:p>
                  <w:pPr>
                    <w:pStyle w:val="30"/>
                    <w:spacing w:line="240" w:lineRule="auto"/>
                    <w:ind w:firstLine="0" w:firstLineChars="0"/>
                    <w:jc w:val="center"/>
                    <w:rPr>
                      <w:color w:val="auto"/>
                      <w:sz w:val="21"/>
                      <w:highlight w:val="none"/>
                    </w:rPr>
                  </w:pPr>
                  <w:r>
                    <w:rPr>
                      <w:color w:val="auto"/>
                      <w:sz w:val="21"/>
                      <w:highlight w:val="none"/>
                    </w:rPr>
                    <w:t>4</w:t>
                  </w:r>
                </w:p>
              </w:tc>
              <w:tc>
                <w:tcPr>
                  <w:tcW w:w="3748" w:type="dxa"/>
                  <w:vAlign w:val="center"/>
                </w:tcPr>
                <w:p>
                  <w:pPr>
                    <w:pStyle w:val="30"/>
                    <w:spacing w:line="240" w:lineRule="auto"/>
                    <w:ind w:firstLine="0" w:firstLineChars="0"/>
                    <w:jc w:val="center"/>
                    <w:rPr>
                      <w:color w:val="auto"/>
                      <w:sz w:val="21"/>
                      <w:highlight w:val="none"/>
                    </w:rPr>
                  </w:pPr>
                  <w:r>
                    <w:rPr>
                      <w:color w:val="auto"/>
                      <w:sz w:val="21"/>
                      <w:highlight w:val="none"/>
                    </w:rPr>
                    <w:t>福浦特种铝材项目</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526.6</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在建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643" w:type="dxa"/>
                  <w:gridSpan w:val="2"/>
                  <w:vAlign w:val="center"/>
                </w:tcPr>
                <w:p>
                  <w:pPr>
                    <w:pStyle w:val="30"/>
                    <w:spacing w:line="240" w:lineRule="auto"/>
                    <w:ind w:firstLine="0" w:firstLineChars="0"/>
                    <w:jc w:val="center"/>
                    <w:rPr>
                      <w:color w:val="auto"/>
                      <w:sz w:val="21"/>
                      <w:highlight w:val="none"/>
                    </w:rPr>
                  </w:pPr>
                  <w:r>
                    <w:rPr>
                      <w:color w:val="auto"/>
                      <w:sz w:val="21"/>
                      <w:highlight w:val="none"/>
                    </w:rPr>
                    <w:t>合计</w:t>
                  </w:r>
                </w:p>
              </w:tc>
              <w:tc>
                <w:tcPr>
                  <w:tcW w:w="2322" w:type="dxa"/>
                  <w:vAlign w:val="center"/>
                </w:tcPr>
                <w:p>
                  <w:pPr>
                    <w:pStyle w:val="30"/>
                    <w:spacing w:line="240" w:lineRule="auto"/>
                    <w:ind w:firstLine="0" w:firstLineChars="0"/>
                    <w:jc w:val="center"/>
                    <w:rPr>
                      <w:color w:val="auto"/>
                      <w:sz w:val="21"/>
                      <w:highlight w:val="none"/>
                    </w:rPr>
                  </w:pPr>
                  <w:r>
                    <w:rPr>
                      <w:color w:val="auto"/>
                      <w:sz w:val="21"/>
                      <w:highlight w:val="none"/>
                    </w:rPr>
                    <w:t>849</w:t>
                  </w:r>
                </w:p>
              </w:tc>
              <w:tc>
                <w:tcPr>
                  <w:tcW w:w="2322" w:type="dxa"/>
                  <w:vAlign w:val="center"/>
                </w:tcPr>
                <w:p>
                  <w:pPr>
                    <w:pStyle w:val="30"/>
                    <w:spacing w:line="240" w:lineRule="auto"/>
                    <w:ind w:firstLine="0" w:firstLineChars="0"/>
                    <w:jc w:val="center"/>
                    <w:rPr>
                      <w:color w:val="auto"/>
                      <w:sz w:val="21"/>
                      <w:highlight w:val="none"/>
                    </w:rPr>
                  </w:pPr>
                </w:p>
              </w:tc>
            </w:tr>
          </w:tbl>
          <w:p>
            <w:pPr>
              <w:pStyle w:val="30"/>
              <w:spacing w:before="156" w:beforeLines="50"/>
              <w:ind w:firstLine="480"/>
              <w:rPr>
                <w:color w:val="auto"/>
                <w:szCs w:val="24"/>
                <w:highlight w:val="none"/>
              </w:rPr>
            </w:pPr>
            <w:r>
              <w:rPr>
                <w:rFonts w:hint="eastAsia"/>
                <w:color w:val="auto"/>
                <w:szCs w:val="24"/>
                <w:highlight w:val="none"/>
              </w:rPr>
              <w:t>污水处理厂</w:t>
            </w:r>
            <w:r>
              <w:rPr>
                <w:color w:val="auto"/>
                <w:szCs w:val="24"/>
                <w:highlight w:val="none"/>
              </w:rPr>
              <w:t>采用“沉砂池+粗格栅提升泵房+转鼓过滤器+调节池+混凝沉淀池+AO接触氧化+斜管沉淀+混凝微滤+紫外消毒工艺”。具体工艺流程详见</w:t>
            </w:r>
            <w:r>
              <w:rPr>
                <w:rFonts w:hint="eastAsia"/>
                <w:color w:val="auto"/>
                <w:szCs w:val="24"/>
                <w:highlight w:val="none"/>
              </w:rPr>
              <w:t>图4.2-2，</w:t>
            </w:r>
            <w:r>
              <w:rPr>
                <w:color w:val="auto"/>
                <w:szCs w:val="24"/>
                <w:highlight w:val="none"/>
              </w:rPr>
              <w:t>设计进水质详见表4.2</w:t>
            </w:r>
            <w:r>
              <w:rPr>
                <w:rFonts w:hint="eastAsia"/>
                <w:color w:val="auto"/>
                <w:szCs w:val="24"/>
                <w:highlight w:val="none"/>
              </w:rPr>
              <w:t>.</w:t>
            </w:r>
            <w:r>
              <w:rPr>
                <w:rFonts w:hint="eastAsia"/>
                <w:color w:val="auto"/>
                <w:szCs w:val="24"/>
                <w:highlight w:val="none"/>
                <w:lang w:val="en-US" w:eastAsia="zh-CN"/>
              </w:rPr>
              <w:t>21</w:t>
            </w:r>
            <w:r>
              <w:rPr>
                <w:color w:val="auto"/>
                <w:szCs w:val="24"/>
                <w:highlight w:val="none"/>
              </w:rPr>
              <w:t>。出水执行《城镇污水处理厂排放标准》（GB18918-2002）中的一级A排放标准。</w:t>
            </w:r>
          </w:p>
          <w:p>
            <w:pPr>
              <w:pStyle w:val="30"/>
              <w:ind w:firstLine="0" w:firstLineChars="0"/>
              <w:jc w:val="center"/>
              <w:rPr>
                <w:color w:val="auto"/>
                <w:highlight w:val="none"/>
              </w:rPr>
            </w:pPr>
            <w:r>
              <w:rPr>
                <w:color w:val="auto"/>
                <w:highlight w:val="none"/>
              </w:rPr>
              <w:drawing>
                <wp:inline distT="0" distB="0" distL="114300" distR="114300">
                  <wp:extent cx="5757545" cy="3515995"/>
                  <wp:effectExtent l="0" t="0" r="14605" b="825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5"/>
                          <a:stretch>
                            <a:fillRect/>
                          </a:stretch>
                        </pic:blipFill>
                        <pic:spPr>
                          <a:xfrm>
                            <a:off x="0" y="0"/>
                            <a:ext cx="5757545" cy="3515995"/>
                          </a:xfrm>
                          <a:prstGeom prst="rect">
                            <a:avLst/>
                          </a:prstGeom>
                          <a:noFill/>
                          <a:ln>
                            <a:noFill/>
                          </a:ln>
                        </pic:spPr>
                      </pic:pic>
                    </a:graphicData>
                  </a:graphic>
                </wp:inline>
              </w:drawing>
            </w:r>
          </w:p>
          <w:p>
            <w:pPr>
              <w:pStyle w:val="36"/>
              <w:rPr>
                <w:color w:val="auto"/>
                <w:highlight w:val="none"/>
              </w:rPr>
            </w:pPr>
            <w:r>
              <w:rPr>
                <w:color w:val="auto"/>
                <w:highlight w:val="none"/>
              </w:rPr>
              <w:t>图4.2-2  污水处理厂水处理工艺</w:t>
            </w:r>
          </w:p>
          <w:p>
            <w:pPr>
              <w:pStyle w:val="32"/>
              <w:ind w:firstLine="480"/>
              <w:rPr>
                <w:color w:val="auto"/>
                <w:highlight w:val="none"/>
              </w:rPr>
            </w:pPr>
            <w:r>
              <w:rPr>
                <w:color w:val="auto"/>
                <w:highlight w:val="none"/>
              </w:rPr>
              <w:t>目前</w:t>
            </w:r>
            <w:r>
              <w:rPr>
                <w:rFonts w:hint="eastAsia"/>
                <w:color w:val="auto"/>
                <w:highlight w:val="none"/>
              </w:rPr>
              <w:t>，本项目周边污水管网已建成</w:t>
            </w:r>
            <w:r>
              <w:rPr>
                <w:color w:val="auto"/>
                <w:highlight w:val="none"/>
              </w:rPr>
              <w:t>，本项目污水可通过污水管接入</w:t>
            </w:r>
            <w:r>
              <w:rPr>
                <w:rFonts w:hint="eastAsia"/>
                <w:color w:val="auto"/>
                <w:highlight w:val="none"/>
              </w:rPr>
              <w:t>污水处理厂</w:t>
            </w:r>
            <w:r>
              <w:rPr>
                <w:color w:val="auto"/>
                <w:highlight w:val="none"/>
              </w:rPr>
              <w:t>。因此本项目污水接入漳湾临港工业区临时一体化污水处理厂是可行的。</w:t>
            </w:r>
          </w:p>
          <w:p>
            <w:pPr>
              <w:pStyle w:val="64"/>
              <w:ind w:firstLine="480"/>
              <w:rPr>
                <w:color w:val="auto"/>
                <w:highlight w:val="none"/>
              </w:rPr>
            </w:pPr>
            <w:r>
              <w:rPr>
                <w:color w:val="auto"/>
                <w:szCs w:val="24"/>
                <w:highlight w:val="none"/>
              </w:rPr>
              <w:t>综上，本项目废水采取各项环保措施后得到有效处理或综合利用，不直接外排水环境，对地表水环境影响很小。建设</w:t>
            </w:r>
            <w:r>
              <w:rPr>
                <w:rFonts w:hint="eastAsia"/>
                <w:color w:val="auto"/>
                <w:szCs w:val="24"/>
                <w:highlight w:val="none"/>
              </w:rPr>
              <w:t>单位</w:t>
            </w:r>
            <w:r>
              <w:rPr>
                <w:color w:val="auto"/>
                <w:szCs w:val="24"/>
                <w:highlight w:val="none"/>
              </w:rPr>
              <w:t>在日常运行管理中应加强对污水处理设施和回水系统的管理与维护，杜绝非正常排放的发生</w:t>
            </w:r>
            <w:r>
              <w:rPr>
                <w:rFonts w:hint="eastAsia"/>
                <w:color w:val="auto"/>
                <w:highlight w:val="none"/>
              </w:rPr>
              <w:t>。</w:t>
            </w:r>
          </w:p>
          <w:p>
            <w:pPr>
              <w:pStyle w:val="64"/>
              <w:ind w:firstLine="480"/>
              <w:rPr>
                <w:color w:val="auto"/>
                <w:highlight w:val="none"/>
              </w:rPr>
            </w:pPr>
            <w:r>
              <w:rPr>
                <w:rFonts w:hint="eastAsia"/>
                <w:color w:val="auto"/>
                <w:highlight w:val="none"/>
              </w:rPr>
              <w:t>（2）接管水质要求</w:t>
            </w:r>
          </w:p>
          <w:p>
            <w:pPr>
              <w:pStyle w:val="64"/>
              <w:ind w:firstLine="480"/>
              <w:rPr>
                <w:color w:val="auto"/>
                <w:highlight w:val="none"/>
              </w:rPr>
            </w:pPr>
            <w:r>
              <w:rPr>
                <w:rFonts w:hint="eastAsia"/>
                <w:color w:val="auto"/>
                <w:highlight w:val="none"/>
              </w:rPr>
              <w:t>污水处理站进、出水水质要求如下：</w:t>
            </w:r>
          </w:p>
          <w:p>
            <w:pPr>
              <w:pStyle w:val="65"/>
              <w:rPr>
                <w:rFonts w:cs="Times New Roman"/>
                <w:color w:val="auto"/>
                <w:highlight w:val="none"/>
              </w:rPr>
            </w:pPr>
            <w:r>
              <w:rPr>
                <w:rFonts w:cs="Times New Roman"/>
                <w:color w:val="auto"/>
                <w:highlight w:val="none"/>
              </w:rPr>
              <w:t>表</w:t>
            </w:r>
            <w:r>
              <w:rPr>
                <w:rFonts w:hint="eastAsia" w:cs="Times New Roman"/>
                <w:color w:val="auto"/>
                <w:highlight w:val="none"/>
              </w:rPr>
              <w:t>4.2.</w:t>
            </w:r>
            <w:r>
              <w:rPr>
                <w:rFonts w:hint="eastAsia" w:cs="Times New Roman"/>
                <w:color w:val="auto"/>
                <w:highlight w:val="none"/>
                <w:lang w:val="en-US" w:eastAsia="zh-CN"/>
              </w:rPr>
              <w:t>21</w:t>
            </w:r>
            <w:r>
              <w:rPr>
                <w:rFonts w:hint="eastAsia" w:cs="Times New Roman"/>
                <w:color w:val="auto"/>
                <w:highlight w:val="none"/>
              </w:rPr>
              <w:t xml:space="preserve">  污水处理厂设计进水水质要求一览表    单位：mg/L</w:t>
            </w:r>
          </w:p>
          <w:tbl>
            <w:tblPr>
              <w:tblStyle w:val="21"/>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8"/>
              <w:gridCol w:w="680"/>
              <w:gridCol w:w="813"/>
              <w:gridCol w:w="753"/>
              <w:gridCol w:w="650"/>
              <w:gridCol w:w="991"/>
              <w:gridCol w:w="738"/>
              <w:gridCol w:w="828"/>
              <w:gridCol w:w="872"/>
              <w:gridCol w:w="709"/>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8" w:type="pct"/>
                  <w:vAlign w:val="center"/>
                </w:tcPr>
                <w:p>
                  <w:pPr>
                    <w:pStyle w:val="30"/>
                    <w:spacing w:line="240" w:lineRule="auto"/>
                    <w:ind w:firstLine="0" w:firstLineChars="0"/>
                    <w:jc w:val="center"/>
                    <w:rPr>
                      <w:color w:val="auto"/>
                      <w:sz w:val="21"/>
                      <w:highlight w:val="none"/>
                    </w:rPr>
                  </w:pPr>
                  <w:r>
                    <w:rPr>
                      <w:color w:val="auto"/>
                      <w:sz w:val="21"/>
                      <w:highlight w:val="none"/>
                    </w:rPr>
                    <w:t>水质指标</w:t>
                  </w:r>
                </w:p>
              </w:tc>
              <w:tc>
                <w:tcPr>
                  <w:tcW w:w="371" w:type="pct"/>
                  <w:vAlign w:val="center"/>
                </w:tcPr>
                <w:p>
                  <w:pPr>
                    <w:pStyle w:val="30"/>
                    <w:spacing w:line="240" w:lineRule="auto"/>
                    <w:ind w:firstLine="0" w:firstLineChars="0"/>
                    <w:jc w:val="center"/>
                    <w:rPr>
                      <w:color w:val="auto"/>
                      <w:sz w:val="21"/>
                      <w:highlight w:val="none"/>
                    </w:rPr>
                  </w:pPr>
                  <w:r>
                    <w:rPr>
                      <w:rFonts w:hint="eastAsia"/>
                      <w:color w:val="auto"/>
                      <w:sz w:val="21"/>
                      <w:highlight w:val="none"/>
                      <w:lang w:val="en-US" w:eastAsia="zh-CN"/>
                    </w:rPr>
                    <w:t>p</w:t>
                  </w:r>
                  <w:r>
                    <w:rPr>
                      <w:color w:val="auto"/>
                      <w:sz w:val="21"/>
                      <w:highlight w:val="none"/>
                    </w:rPr>
                    <w:t>H</w:t>
                  </w:r>
                </w:p>
              </w:tc>
              <w:tc>
                <w:tcPr>
                  <w:tcW w:w="444" w:type="pct"/>
                  <w:vAlign w:val="center"/>
                </w:tcPr>
                <w:p>
                  <w:pPr>
                    <w:pStyle w:val="30"/>
                    <w:spacing w:line="240" w:lineRule="auto"/>
                    <w:ind w:firstLine="0" w:firstLineChars="0"/>
                    <w:jc w:val="center"/>
                    <w:rPr>
                      <w:color w:val="auto"/>
                      <w:sz w:val="21"/>
                      <w:highlight w:val="none"/>
                    </w:rPr>
                  </w:pPr>
                  <w:r>
                    <w:rPr>
                      <w:color w:val="auto"/>
                      <w:sz w:val="21"/>
                      <w:highlight w:val="none"/>
                    </w:rPr>
                    <w:t>COD</w:t>
                  </w:r>
                  <w:r>
                    <w:rPr>
                      <w:color w:val="auto"/>
                      <w:sz w:val="21"/>
                      <w:highlight w:val="none"/>
                      <w:vertAlign w:val="subscript"/>
                    </w:rPr>
                    <w:t>cr</w:t>
                  </w:r>
                </w:p>
              </w:tc>
              <w:tc>
                <w:tcPr>
                  <w:tcW w:w="411" w:type="pct"/>
                  <w:vAlign w:val="center"/>
                </w:tcPr>
                <w:p>
                  <w:pPr>
                    <w:pStyle w:val="30"/>
                    <w:spacing w:line="240" w:lineRule="auto"/>
                    <w:ind w:firstLine="0" w:firstLineChars="0"/>
                    <w:jc w:val="center"/>
                    <w:rPr>
                      <w:color w:val="auto"/>
                      <w:sz w:val="21"/>
                      <w:highlight w:val="none"/>
                    </w:rPr>
                  </w:pPr>
                  <w:r>
                    <w:rPr>
                      <w:color w:val="auto"/>
                      <w:sz w:val="21"/>
                      <w:highlight w:val="none"/>
                    </w:rPr>
                    <w:t>BOD</w:t>
                  </w:r>
                  <w:r>
                    <w:rPr>
                      <w:color w:val="auto"/>
                      <w:sz w:val="21"/>
                      <w:highlight w:val="none"/>
                      <w:vertAlign w:val="subscript"/>
                    </w:rPr>
                    <w:t>5</w:t>
                  </w:r>
                </w:p>
              </w:tc>
              <w:tc>
                <w:tcPr>
                  <w:tcW w:w="355" w:type="pct"/>
                  <w:vAlign w:val="center"/>
                </w:tcPr>
                <w:p>
                  <w:pPr>
                    <w:pStyle w:val="30"/>
                    <w:spacing w:line="240" w:lineRule="auto"/>
                    <w:ind w:firstLine="0" w:firstLineChars="0"/>
                    <w:jc w:val="center"/>
                    <w:rPr>
                      <w:color w:val="auto"/>
                      <w:sz w:val="21"/>
                      <w:highlight w:val="none"/>
                    </w:rPr>
                  </w:pPr>
                  <w:r>
                    <w:rPr>
                      <w:color w:val="auto"/>
                      <w:sz w:val="21"/>
                      <w:highlight w:val="none"/>
                    </w:rPr>
                    <w:t>SS</w:t>
                  </w:r>
                </w:p>
              </w:tc>
              <w:tc>
                <w:tcPr>
                  <w:tcW w:w="541" w:type="pct"/>
                  <w:vAlign w:val="center"/>
                </w:tcPr>
                <w:p>
                  <w:pPr>
                    <w:pStyle w:val="30"/>
                    <w:spacing w:line="240" w:lineRule="auto"/>
                    <w:ind w:firstLine="0" w:firstLineChars="0"/>
                    <w:jc w:val="center"/>
                    <w:rPr>
                      <w:color w:val="auto"/>
                      <w:sz w:val="21"/>
                      <w:highlight w:val="none"/>
                    </w:rPr>
                  </w:pPr>
                  <w:r>
                    <w:rPr>
                      <w:color w:val="auto"/>
                      <w:sz w:val="21"/>
                      <w:highlight w:val="none"/>
                    </w:rPr>
                    <w:t>NH</w:t>
                  </w:r>
                  <w:r>
                    <w:rPr>
                      <w:color w:val="auto"/>
                      <w:sz w:val="21"/>
                      <w:highlight w:val="none"/>
                      <w:vertAlign w:val="subscript"/>
                    </w:rPr>
                    <w:t>3</w:t>
                  </w:r>
                  <w:r>
                    <w:rPr>
                      <w:color w:val="auto"/>
                      <w:sz w:val="21"/>
                      <w:highlight w:val="none"/>
                    </w:rPr>
                    <w:t>-N</w:t>
                  </w:r>
                </w:p>
              </w:tc>
              <w:tc>
                <w:tcPr>
                  <w:tcW w:w="403" w:type="pct"/>
                  <w:vAlign w:val="center"/>
                </w:tcPr>
                <w:p>
                  <w:pPr>
                    <w:pStyle w:val="30"/>
                    <w:spacing w:line="240" w:lineRule="auto"/>
                    <w:ind w:firstLine="0" w:firstLineChars="0"/>
                    <w:jc w:val="center"/>
                    <w:rPr>
                      <w:color w:val="auto"/>
                      <w:sz w:val="21"/>
                      <w:highlight w:val="none"/>
                    </w:rPr>
                  </w:pPr>
                  <w:r>
                    <w:rPr>
                      <w:color w:val="auto"/>
                      <w:sz w:val="21"/>
                      <w:highlight w:val="none"/>
                    </w:rPr>
                    <w:t>TN</w:t>
                  </w:r>
                </w:p>
              </w:tc>
              <w:tc>
                <w:tcPr>
                  <w:tcW w:w="452" w:type="pct"/>
                  <w:vAlign w:val="center"/>
                </w:tcPr>
                <w:p>
                  <w:pPr>
                    <w:pStyle w:val="30"/>
                    <w:spacing w:line="240" w:lineRule="auto"/>
                    <w:ind w:firstLine="0" w:firstLineChars="0"/>
                    <w:jc w:val="center"/>
                    <w:rPr>
                      <w:color w:val="auto"/>
                      <w:sz w:val="21"/>
                      <w:highlight w:val="none"/>
                    </w:rPr>
                  </w:pPr>
                  <w:r>
                    <w:rPr>
                      <w:color w:val="auto"/>
                      <w:sz w:val="21"/>
                      <w:highlight w:val="none"/>
                    </w:rPr>
                    <w:t>TP</w:t>
                  </w:r>
                </w:p>
              </w:tc>
              <w:tc>
                <w:tcPr>
                  <w:tcW w:w="476" w:type="pct"/>
                  <w:vAlign w:val="center"/>
                </w:tcPr>
                <w:p>
                  <w:pPr>
                    <w:pStyle w:val="30"/>
                    <w:spacing w:line="240" w:lineRule="auto"/>
                    <w:ind w:firstLine="0" w:firstLineChars="0"/>
                    <w:jc w:val="center"/>
                    <w:rPr>
                      <w:color w:val="auto"/>
                      <w:sz w:val="21"/>
                      <w:highlight w:val="none"/>
                    </w:rPr>
                  </w:pPr>
                  <w:r>
                    <w:rPr>
                      <w:color w:val="auto"/>
                      <w:sz w:val="21"/>
                      <w:highlight w:val="none"/>
                    </w:rPr>
                    <w:t>石油类</w:t>
                  </w:r>
                </w:p>
              </w:tc>
              <w:tc>
                <w:tcPr>
                  <w:tcW w:w="387" w:type="pct"/>
                  <w:vAlign w:val="center"/>
                </w:tcPr>
                <w:p>
                  <w:pPr>
                    <w:pStyle w:val="30"/>
                    <w:spacing w:line="240" w:lineRule="auto"/>
                    <w:ind w:firstLine="0" w:firstLineChars="0"/>
                    <w:jc w:val="center"/>
                    <w:rPr>
                      <w:color w:val="auto"/>
                      <w:sz w:val="21"/>
                      <w:highlight w:val="none"/>
                    </w:rPr>
                  </w:pPr>
                  <w:r>
                    <w:rPr>
                      <w:color w:val="auto"/>
                      <w:sz w:val="21"/>
                      <w:highlight w:val="none"/>
                    </w:rPr>
                    <w:t>LAS</w:t>
                  </w:r>
                </w:p>
              </w:tc>
              <w:tc>
                <w:tcPr>
                  <w:tcW w:w="517" w:type="pct"/>
                  <w:vAlign w:val="center"/>
                </w:tcPr>
                <w:p>
                  <w:pPr>
                    <w:pStyle w:val="30"/>
                    <w:spacing w:line="240" w:lineRule="auto"/>
                    <w:ind w:firstLine="0" w:firstLineChars="0"/>
                    <w:jc w:val="center"/>
                    <w:rPr>
                      <w:color w:val="auto"/>
                      <w:sz w:val="21"/>
                      <w:highlight w:val="none"/>
                    </w:rPr>
                  </w:pPr>
                  <w:r>
                    <w:rPr>
                      <w:color w:val="auto"/>
                      <w:sz w:val="21"/>
                      <w:highlight w:val="none"/>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8" w:type="pct"/>
                  <w:vAlign w:val="center"/>
                </w:tcPr>
                <w:p>
                  <w:pPr>
                    <w:pStyle w:val="30"/>
                    <w:spacing w:line="240" w:lineRule="auto"/>
                    <w:ind w:firstLine="0" w:firstLineChars="0"/>
                    <w:jc w:val="center"/>
                    <w:rPr>
                      <w:color w:val="auto"/>
                      <w:sz w:val="21"/>
                      <w:highlight w:val="none"/>
                    </w:rPr>
                  </w:pPr>
                  <w:r>
                    <w:rPr>
                      <w:color w:val="auto"/>
                      <w:sz w:val="21"/>
                      <w:highlight w:val="none"/>
                    </w:rPr>
                    <w:t>进水水质</w:t>
                  </w:r>
                </w:p>
              </w:tc>
              <w:tc>
                <w:tcPr>
                  <w:tcW w:w="371" w:type="pct"/>
                  <w:vAlign w:val="center"/>
                </w:tcPr>
                <w:p>
                  <w:pPr>
                    <w:pStyle w:val="30"/>
                    <w:spacing w:line="240" w:lineRule="auto"/>
                    <w:ind w:firstLine="0" w:firstLineChars="0"/>
                    <w:jc w:val="center"/>
                    <w:rPr>
                      <w:color w:val="auto"/>
                      <w:sz w:val="21"/>
                      <w:highlight w:val="none"/>
                    </w:rPr>
                  </w:pPr>
                  <w:r>
                    <w:rPr>
                      <w:color w:val="auto"/>
                      <w:sz w:val="21"/>
                      <w:highlight w:val="none"/>
                    </w:rPr>
                    <w:t>6-9</w:t>
                  </w:r>
                </w:p>
              </w:tc>
              <w:tc>
                <w:tcPr>
                  <w:tcW w:w="444" w:type="pct"/>
                  <w:vAlign w:val="center"/>
                </w:tcPr>
                <w:p>
                  <w:pPr>
                    <w:pStyle w:val="30"/>
                    <w:spacing w:line="240" w:lineRule="auto"/>
                    <w:ind w:firstLine="0" w:firstLineChars="0"/>
                    <w:jc w:val="center"/>
                    <w:rPr>
                      <w:color w:val="auto"/>
                      <w:sz w:val="21"/>
                      <w:highlight w:val="none"/>
                    </w:rPr>
                  </w:pPr>
                  <w:r>
                    <w:rPr>
                      <w:color w:val="auto"/>
                      <w:sz w:val="21"/>
                      <w:highlight w:val="none"/>
                    </w:rPr>
                    <w:t>500</w:t>
                  </w:r>
                </w:p>
              </w:tc>
              <w:tc>
                <w:tcPr>
                  <w:tcW w:w="411" w:type="pct"/>
                  <w:vAlign w:val="center"/>
                </w:tcPr>
                <w:p>
                  <w:pPr>
                    <w:pStyle w:val="30"/>
                    <w:spacing w:line="240" w:lineRule="auto"/>
                    <w:ind w:firstLine="0" w:firstLineChars="0"/>
                    <w:jc w:val="center"/>
                    <w:rPr>
                      <w:color w:val="auto"/>
                      <w:sz w:val="21"/>
                      <w:highlight w:val="none"/>
                    </w:rPr>
                  </w:pPr>
                  <w:r>
                    <w:rPr>
                      <w:color w:val="auto"/>
                      <w:sz w:val="21"/>
                      <w:highlight w:val="none"/>
                    </w:rPr>
                    <w:t>180</w:t>
                  </w:r>
                </w:p>
              </w:tc>
              <w:tc>
                <w:tcPr>
                  <w:tcW w:w="355" w:type="pct"/>
                  <w:vAlign w:val="center"/>
                </w:tcPr>
                <w:p>
                  <w:pPr>
                    <w:pStyle w:val="30"/>
                    <w:spacing w:line="240" w:lineRule="auto"/>
                    <w:ind w:firstLine="0" w:firstLineChars="0"/>
                    <w:jc w:val="center"/>
                    <w:rPr>
                      <w:color w:val="auto"/>
                      <w:sz w:val="21"/>
                      <w:highlight w:val="none"/>
                    </w:rPr>
                  </w:pPr>
                  <w:r>
                    <w:rPr>
                      <w:color w:val="auto"/>
                      <w:sz w:val="21"/>
                      <w:highlight w:val="none"/>
                    </w:rPr>
                    <w:t>400</w:t>
                  </w:r>
                </w:p>
              </w:tc>
              <w:tc>
                <w:tcPr>
                  <w:tcW w:w="541" w:type="pct"/>
                  <w:vAlign w:val="center"/>
                </w:tcPr>
                <w:p>
                  <w:pPr>
                    <w:pStyle w:val="30"/>
                    <w:spacing w:line="240" w:lineRule="auto"/>
                    <w:ind w:firstLine="0" w:firstLineChars="0"/>
                    <w:jc w:val="center"/>
                    <w:rPr>
                      <w:color w:val="auto"/>
                      <w:sz w:val="21"/>
                      <w:highlight w:val="none"/>
                    </w:rPr>
                  </w:pPr>
                  <w:r>
                    <w:rPr>
                      <w:color w:val="auto"/>
                      <w:sz w:val="21"/>
                      <w:highlight w:val="none"/>
                    </w:rPr>
                    <w:t>45</w:t>
                  </w:r>
                </w:p>
              </w:tc>
              <w:tc>
                <w:tcPr>
                  <w:tcW w:w="403" w:type="pct"/>
                  <w:vAlign w:val="center"/>
                </w:tcPr>
                <w:p>
                  <w:pPr>
                    <w:pStyle w:val="30"/>
                    <w:spacing w:line="240" w:lineRule="auto"/>
                    <w:ind w:firstLine="0" w:firstLineChars="0"/>
                    <w:jc w:val="center"/>
                    <w:rPr>
                      <w:color w:val="auto"/>
                      <w:sz w:val="21"/>
                      <w:highlight w:val="none"/>
                    </w:rPr>
                  </w:pPr>
                  <w:r>
                    <w:rPr>
                      <w:color w:val="auto"/>
                      <w:sz w:val="21"/>
                      <w:highlight w:val="none"/>
                    </w:rPr>
                    <w:t>70</w:t>
                  </w:r>
                </w:p>
              </w:tc>
              <w:tc>
                <w:tcPr>
                  <w:tcW w:w="452" w:type="pct"/>
                  <w:vAlign w:val="center"/>
                </w:tcPr>
                <w:p>
                  <w:pPr>
                    <w:pStyle w:val="30"/>
                    <w:spacing w:line="240" w:lineRule="auto"/>
                    <w:ind w:firstLine="0" w:firstLineChars="0"/>
                    <w:jc w:val="center"/>
                    <w:rPr>
                      <w:color w:val="auto"/>
                      <w:sz w:val="21"/>
                      <w:highlight w:val="none"/>
                    </w:rPr>
                  </w:pPr>
                  <w:r>
                    <w:rPr>
                      <w:color w:val="auto"/>
                      <w:sz w:val="21"/>
                      <w:highlight w:val="none"/>
                    </w:rPr>
                    <w:t>8.0</w:t>
                  </w:r>
                </w:p>
              </w:tc>
              <w:tc>
                <w:tcPr>
                  <w:tcW w:w="476" w:type="pct"/>
                  <w:vAlign w:val="center"/>
                </w:tcPr>
                <w:p>
                  <w:pPr>
                    <w:pStyle w:val="30"/>
                    <w:spacing w:line="240" w:lineRule="auto"/>
                    <w:ind w:firstLine="0" w:firstLineChars="0"/>
                    <w:jc w:val="center"/>
                    <w:rPr>
                      <w:color w:val="auto"/>
                      <w:sz w:val="21"/>
                      <w:highlight w:val="none"/>
                    </w:rPr>
                  </w:pPr>
                  <w:r>
                    <w:rPr>
                      <w:color w:val="auto"/>
                      <w:sz w:val="21"/>
                      <w:highlight w:val="none"/>
                    </w:rPr>
                    <w:t>15</w:t>
                  </w:r>
                </w:p>
              </w:tc>
              <w:tc>
                <w:tcPr>
                  <w:tcW w:w="387" w:type="pct"/>
                  <w:vAlign w:val="center"/>
                </w:tcPr>
                <w:p>
                  <w:pPr>
                    <w:pStyle w:val="30"/>
                    <w:spacing w:line="240" w:lineRule="auto"/>
                    <w:ind w:firstLine="0" w:firstLineChars="0"/>
                    <w:jc w:val="center"/>
                    <w:rPr>
                      <w:color w:val="auto"/>
                      <w:sz w:val="21"/>
                      <w:highlight w:val="none"/>
                    </w:rPr>
                  </w:pPr>
                  <w:r>
                    <w:rPr>
                      <w:color w:val="auto"/>
                      <w:sz w:val="21"/>
                      <w:highlight w:val="none"/>
                    </w:rPr>
                    <w:t>20</w:t>
                  </w:r>
                </w:p>
              </w:tc>
              <w:tc>
                <w:tcPr>
                  <w:tcW w:w="517" w:type="pct"/>
                  <w:vAlign w:val="center"/>
                </w:tcPr>
                <w:p>
                  <w:pPr>
                    <w:pStyle w:val="30"/>
                    <w:spacing w:line="240" w:lineRule="auto"/>
                    <w:ind w:firstLine="0" w:firstLineChars="0"/>
                    <w:jc w:val="center"/>
                    <w:rPr>
                      <w:color w:val="auto"/>
                      <w:sz w:val="21"/>
                      <w:highlight w:val="none"/>
                    </w:rPr>
                  </w:pPr>
                  <w:r>
                    <w:rPr>
                      <w:color w:val="auto"/>
                      <w:sz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8" w:type="pct"/>
                  <w:vAlign w:val="center"/>
                </w:tcPr>
                <w:p>
                  <w:pPr>
                    <w:pStyle w:val="30"/>
                    <w:spacing w:line="240" w:lineRule="auto"/>
                    <w:ind w:firstLine="0" w:firstLineChars="0"/>
                    <w:jc w:val="center"/>
                    <w:rPr>
                      <w:color w:val="auto"/>
                      <w:sz w:val="21"/>
                      <w:highlight w:val="none"/>
                    </w:rPr>
                  </w:pPr>
                  <w:r>
                    <w:rPr>
                      <w:color w:val="auto"/>
                      <w:sz w:val="21"/>
                      <w:highlight w:val="none"/>
                    </w:rPr>
                    <w:t>出水水质</w:t>
                  </w:r>
                </w:p>
              </w:tc>
              <w:tc>
                <w:tcPr>
                  <w:tcW w:w="371" w:type="pct"/>
                  <w:vAlign w:val="center"/>
                </w:tcPr>
                <w:p>
                  <w:pPr>
                    <w:pStyle w:val="30"/>
                    <w:spacing w:line="240" w:lineRule="auto"/>
                    <w:ind w:firstLine="0" w:firstLineChars="0"/>
                    <w:jc w:val="center"/>
                    <w:rPr>
                      <w:color w:val="auto"/>
                      <w:sz w:val="21"/>
                      <w:highlight w:val="none"/>
                    </w:rPr>
                  </w:pPr>
                  <w:r>
                    <w:rPr>
                      <w:color w:val="auto"/>
                      <w:sz w:val="21"/>
                      <w:highlight w:val="none"/>
                    </w:rPr>
                    <w:t>6-9</w:t>
                  </w:r>
                </w:p>
              </w:tc>
              <w:tc>
                <w:tcPr>
                  <w:tcW w:w="444" w:type="pct"/>
                  <w:vAlign w:val="center"/>
                </w:tcPr>
                <w:p>
                  <w:pPr>
                    <w:pStyle w:val="30"/>
                    <w:spacing w:line="240" w:lineRule="auto"/>
                    <w:ind w:firstLine="0" w:firstLineChars="0"/>
                    <w:jc w:val="center"/>
                    <w:rPr>
                      <w:color w:val="auto"/>
                      <w:sz w:val="21"/>
                      <w:highlight w:val="none"/>
                    </w:rPr>
                  </w:pPr>
                  <w:r>
                    <w:rPr>
                      <w:color w:val="auto"/>
                      <w:sz w:val="21"/>
                      <w:highlight w:val="none"/>
                    </w:rPr>
                    <w:t>≤50</w:t>
                  </w:r>
                </w:p>
              </w:tc>
              <w:tc>
                <w:tcPr>
                  <w:tcW w:w="411" w:type="pct"/>
                  <w:vAlign w:val="center"/>
                </w:tcPr>
                <w:p>
                  <w:pPr>
                    <w:pStyle w:val="30"/>
                    <w:spacing w:line="240" w:lineRule="auto"/>
                    <w:ind w:firstLine="0" w:firstLineChars="0"/>
                    <w:jc w:val="center"/>
                    <w:rPr>
                      <w:color w:val="auto"/>
                      <w:sz w:val="21"/>
                      <w:highlight w:val="none"/>
                    </w:rPr>
                  </w:pPr>
                  <w:r>
                    <w:rPr>
                      <w:color w:val="auto"/>
                      <w:sz w:val="21"/>
                      <w:highlight w:val="none"/>
                    </w:rPr>
                    <w:t>≤10</w:t>
                  </w:r>
                </w:p>
              </w:tc>
              <w:tc>
                <w:tcPr>
                  <w:tcW w:w="355" w:type="pct"/>
                  <w:vAlign w:val="center"/>
                </w:tcPr>
                <w:p>
                  <w:pPr>
                    <w:pStyle w:val="30"/>
                    <w:spacing w:line="240" w:lineRule="auto"/>
                    <w:ind w:firstLine="0" w:firstLineChars="0"/>
                    <w:jc w:val="center"/>
                    <w:rPr>
                      <w:color w:val="auto"/>
                      <w:sz w:val="21"/>
                      <w:highlight w:val="none"/>
                    </w:rPr>
                  </w:pPr>
                  <w:r>
                    <w:rPr>
                      <w:color w:val="auto"/>
                      <w:sz w:val="21"/>
                      <w:highlight w:val="none"/>
                    </w:rPr>
                    <w:t>≤10</w:t>
                  </w:r>
                </w:p>
              </w:tc>
              <w:tc>
                <w:tcPr>
                  <w:tcW w:w="541" w:type="pct"/>
                  <w:vAlign w:val="center"/>
                </w:tcPr>
                <w:p>
                  <w:pPr>
                    <w:pStyle w:val="30"/>
                    <w:spacing w:line="240" w:lineRule="auto"/>
                    <w:ind w:firstLine="0" w:firstLineChars="0"/>
                    <w:jc w:val="center"/>
                    <w:rPr>
                      <w:color w:val="auto"/>
                      <w:sz w:val="21"/>
                      <w:highlight w:val="none"/>
                    </w:rPr>
                  </w:pPr>
                  <w:r>
                    <w:rPr>
                      <w:color w:val="auto"/>
                      <w:sz w:val="21"/>
                      <w:highlight w:val="none"/>
                    </w:rPr>
                    <w:t>≤5（8）</w:t>
                  </w:r>
                </w:p>
              </w:tc>
              <w:tc>
                <w:tcPr>
                  <w:tcW w:w="403" w:type="pct"/>
                  <w:vAlign w:val="center"/>
                </w:tcPr>
                <w:p>
                  <w:pPr>
                    <w:pStyle w:val="30"/>
                    <w:spacing w:line="240" w:lineRule="auto"/>
                    <w:ind w:firstLine="0" w:firstLineChars="0"/>
                    <w:jc w:val="center"/>
                    <w:rPr>
                      <w:color w:val="auto"/>
                      <w:sz w:val="21"/>
                      <w:highlight w:val="none"/>
                    </w:rPr>
                  </w:pPr>
                  <w:r>
                    <w:rPr>
                      <w:color w:val="auto"/>
                      <w:sz w:val="21"/>
                      <w:highlight w:val="none"/>
                    </w:rPr>
                    <w:t>≤15</w:t>
                  </w:r>
                </w:p>
              </w:tc>
              <w:tc>
                <w:tcPr>
                  <w:tcW w:w="452" w:type="pct"/>
                  <w:vAlign w:val="center"/>
                </w:tcPr>
                <w:p>
                  <w:pPr>
                    <w:pStyle w:val="30"/>
                    <w:spacing w:line="240" w:lineRule="auto"/>
                    <w:ind w:firstLine="0" w:firstLineChars="0"/>
                    <w:jc w:val="center"/>
                    <w:rPr>
                      <w:color w:val="auto"/>
                      <w:sz w:val="21"/>
                      <w:highlight w:val="none"/>
                    </w:rPr>
                  </w:pPr>
                  <w:r>
                    <w:rPr>
                      <w:color w:val="auto"/>
                      <w:sz w:val="21"/>
                      <w:highlight w:val="none"/>
                    </w:rPr>
                    <w:t>≤0.5</w:t>
                  </w:r>
                </w:p>
              </w:tc>
              <w:tc>
                <w:tcPr>
                  <w:tcW w:w="476" w:type="pct"/>
                  <w:vAlign w:val="center"/>
                </w:tcPr>
                <w:p>
                  <w:pPr>
                    <w:pStyle w:val="30"/>
                    <w:spacing w:line="240" w:lineRule="auto"/>
                    <w:ind w:firstLine="0" w:firstLineChars="0"/>
                    <w:jc w:val="center"/>
                    <w:rPr>
                      <w:color w:val="auto"/>
                      <w:sz w:val="21"/>
                      <w:highlight w:val="none"/>
                    </w:rPr>
                  </w:pPr>
                  <w:r>
                    <w:rPr>
                      <w:color w:val="auto"/>
                      <w:sz w:val="21"/>
                      <w:highlight w:val="none"/>
                    </w:rPr>
                    <w:t>≤1</w:t>
                  </w:r>
                </w:p>
              </w:tc>
              <w:tc>
                <w:tcPr>
                  <w:tcW w:w="387" w:type="pct"/>
                  <w:vAlign w:val="center"/>
                </w:tcPr>
                <w:p>
                  <w:pPr>
                    <w:pStyle w:val="30"/>
                    <w:spacing w:line="240" w:lineRule="auto"/>
                    <w:ind w:firstLine="0" w:firstLineChars="0"/>
                    <w:jc w:val="center"/>
                    <w:rPr>
                      <w:color w:val="auto"/>
                      <w:sz w:val="21"/>
                      <w:highlight w:val="none"/>
                    </w:rPr>
                  </w:pPr>
                  <w:r>
                    <w:rPr>
                      <w:color w:val="auto"/>
                      <w:sz w:val="21"/>
                      <w:highlight w:val="none"/>
                    </w:rPr>
                    <w:t>≤0.5</w:t>
                  </w:r>
                </w:p>
              </w:tc>
              <w:tc>
                <w:tcPr>
                  <w:tcW w:w="517" w:type="pct"/>
                  <w:vAlign w:val="center"/>
                </w:tcPr>
                <w:p>
                  <w:pPr>
                    <w:pStyle w:val="30"/>
                    <w:spacing w:line="240" w:lineRule="auto"/>
                    <w:ind w:firstLine="0" w:firstLineChars="0"/>
                    <w:jc w:val="center"/>
                    <w:rPr>
                      <w:color w:val="auto"/>
                      <w:sz w:val="21"/>
                      <w:highlight w:val="none"/>
                    </w:rPr>
                  </w:pPr>
                  <w:r>
                    <w:rPr>
                      <w:color w:val="auto"/>
                      <w:sz w:val="21"/>
                      <w:highlight w:val="none"/>
                    </w:rPr>
                    <w:t>≤10</w:t>
                  </w:r>
                </w:p>
              </w:tc>
            </w:tr>
          </w:tbl>
          <w:p>
            <w:pPr>
              <w:pStyle w:val="64"/>
              <w:ind w:firstLine="480"/>
              <w:rPr>
                <w:color w:val="auto"/>
                <w:highlight w:val="none"/>
              </w:rPr>
            </w:pPr>
            <w:r>
              <w:rPr>
                <w:rFonts w:hint="eastAsia"/>
                <w:color w:val="auto"/>
                <w:highlight w:val="none"/>
              </w:rPr>
              <w:t>出水排放执行GB18918-2002《城镇污水处理厂污染物排放标准》表1的基本控制项目最高允许排放浓度的一级A标准。</w:t>
            </w:r>
          </w:p>
          <w:p>
            <w:pPr>
              <w:pStyle w:val="64"/>
              <w:ind w:firstLine="480"/>
              <w:rPr>
                <w:color w:val="auto"/>
                <w:highlight w:val="none"/>
              </w:rPr>
            </w:pPr>
            <w:r>
              <w:rPr>
                <w:rFonts w:hint="eastAsia"/>
                <w:color w:val="auto"/>
                <w:highlight w:val="none"/>
              </w:rPr>
              <w:t>（2）接入漳湾临港工业区临时一体化污水处理厂可行性分析</w:t>
            </w:r>
          </w:p>
          <w:p>
            <w:pPr>
              <w:pStyle w:val="32"/>
              <w:ind w:firstLine="480"/>
              <w:rPr>
                <w:color w:val="auto"/>
                <w:highlight w:val="none"/>
              </w:rPr>
            </w:pPr>
            <w:r>
              <w:rPr>
                <w:color w:val="auto"/>
                <w:highlight w:val="none"/>
              </w:rPr>
              <w:t>①</w:t>
            </w:r>
            <w:r>
              <w:rPr>
                <w:rFonts w:hint="eastAsia"/>
                <w:color w:val="auto"/>
                <w:highlight w:val="none"/>
              </w:rPr>
              <w:t>废水水质的影响</w:t>
            </w:r>
          </w:p>
          <w:p>
            <w:pPr>
              <w:pStyle w:val="64"/>
              <w:ind w:firstLine="480"/>
              <w:rPr>
                <w:color w:val="auto"/>
                <w:highlight w:val="none"/>
              </w:rPr>
            </w:pPr>
            <w:r>
              <w:rPr>
                <w:rFonts w:hint="eastAsia"/>
                <w:color w:val="auto"/>
                <w:highlight w:val="none"/>
              </w:rPr>
              <w:t>本项目废水主要为职工生活污水，水质简单，不涉及有毒有害污染物，不涉及持久性、重金属污染物，也不含有腐蚀成分。</w:t>
            </w:r>
          </w:p>
          <w:p>
            <w:pPr>
              <w:pStyle w:val="64"/>
              <w:ind w:firstLine="480"/>
              <w:rPr>
                <w:color w:val="auto"/>
                <w:highlight w:val="none"/>
              </w:rPr>
            </w:pPr>
            <w:r>
              <w:rPr>
                <w:rFonts w:hint="eastAsia"/>
                <w:color w:val="auto"/>
                <w:highlight w:val="none"/>
              </w:rPr>
              <w:t>生活污水经化粪池处理后水质可达到漳湾临港工业区临时一体化污水处理厂的进水水质要求（COD≤500mg/L，BOD</w:t>
            </w:r>
            <w:r>
              <w:rPr>
                <w:rFonts w:hint="eastAsia"/>
                <w:color w:val="auto"/>
                <w:highlight w:val="none"/>
                <w:vertAlign w:val="subscript"/>
              </w:rPr>
              <w:t>5</w:t>
            </w:r>
            <w:r>
              <w:rPr>
                <w:rFonts w:hint="eastAsia"/>
                <w:color w:val="auto"/>
                <w:highlight w:val="none"/>
              </w:rPr>
              <w:t>≤180mg/L，SS≤400mg/L，NH</w:t>
            </w:r>
            <w:r>
              <w:rPr>
                <w:rFonts w:hint="eastAsia"/>
                <w:color w:val="auto"/>
                <w:highlight w:val="none"/>
                <w:vertAlign w:val="subscript"/>
              </w:rPr>
              <w:t>3</w:t>
            </w:r>
            <w:r>
              <w:rPr>
                <w:rFonts w:hint="eastAsia"/>
                <w:color w:val="auto"/>
                <w:highlight w:val="none"/>
              </w:rPr>
              <w:t>-N≤45mg/L，TP≤8mg/L，TN≤70mg/L），污水中不含重金属和其他有毒有害物质，不会影响该污水处理站稳定运行，故从水质上分析，项目废水的纳入不会对漳湾临港工业区临时一体化污水处理厂的水质造成影响，具有接纳可行性。</w:t>
            </w:r>
          </w:p>
          <w:p>
            <w:pPr>
              <w:pStyle w:val="32"/>
              <w:ind w:firstLine="480"/>
              <w:rPr>
                <w:color w:val="auto"/>
                <w:highlight w:val="none"/>
              </w:rPr>
            </w:pPr>
            <w:r>
              <w:rPr>
                <w:color w:val="auto"/>
                <w:highlight w:val="none"/>
              </w:rPr>
              <w:t>②</w:t>
            </w:r>
            <w:r>
              <w:rPr>
                <w:rFonts w:hint="eastAsia"/>
                <w:color w:val="auto"/>
                <w:highlight w:val="none"/>
              </w:rPr>
              <w:t>废水水量的影响</w:t>
            </w:r>
          </w:p>
          <w:p>
            <w:pPr>
              <w:pStyle w:val="32"/>
              <w:ind w:firstLine="480"/>
              <w:rPr>
                <w:color w:val="auto"/>
                <w:highlight w:val="none"/>
              </w:rPr>
            </w:pPr>
            <w:r>
              <w:rPr>
                <w:color w:val="auto"/>
                <w:highlight w:val="none"/>
              </w:rPr>
              <w:t>目前</w:t>
            </w:r>
            <w:r>
              <w:rPr>
                <w:rFonts w:hint="eastAsia"/>
                <w:color w:val="auto"/>
                <w:highlight w:val="none"/>
              </w:rPr>
              <w:t>污水处理厂</w:t>
            </w:r>
            <w:r>
              <w:rPr>
                <w:color w:val="auto"/>
                <w:highlight w:val="none"/>
              </w:rPr>
              <w:t>一期3000m³/d已完成建设，但由于目前企业产生的污水未到达</w:t>
            </w:r>
            <w:r>
              <w:rPr>
                <w:rFonts w:hint="eastAsia"/>
                <w:color w:val="auto"/>
                <w:highlight w:val="none"/>
              </w:rPr>
              <w:t>污水处理厂</w:t>
            </w:r>
            <w:r>
              <w:rPr>
                <w:color w:val="auto"/>
                <w:highlight w:val="none"/>
              </w:rPr>
              <w:t>的运行水量要求所以暂未开始接纳污水，待园区产生污水量达到运行要求，</w:t>
            </w:r>
            <w:r>
              <w:rPr>
                <w:rFonts w:hint="eastAsia"/>
                <w:color w:val="auto"/>
                <w:highlight w:val="none"/>
              </w:rPr>
              <w:t>即可</w:t>
            </w:r>
            <w:r>
              <w:rPr>
                <w:color w:val="auto"/>
                <w:highlight w:val="none"/>
              </w:rPr>
              <w:t>开始处理污水。本项目废水排放量为</w:t>
            </w:r>
            <w:r>
              <w:rPr>
                <w:rFonts w:hint="eastAsia"/>
                <w:color w:val="auto"/>
                <w:highlight w:val="none"/>
              </w:rPr>
              <w:t>2.16</w:t>
            </w:r>
            <w:r>
              <w:rPr>
                <w:color w:val="auto"/>
                <w:highlight w:val="none"/>
              </w:rPr>
              <w:t>m³/d，根据表4.2</w:t>
            </w:r>
            <w:r>
              <w:rPr>
                <w:rFonts w:hint="eastAsia"/>
                <w:color w:val="auto"/>
                <w:highlight w:val="none"/>
              </w:rPr>
              <w:t>.16</w:t>
            </w:r>
            <w:r>
              <w:rPr>
                <w:color w:val="auto"/>
                <w:highlight w:val="none"/>
              </w:rPr>
              <w:t>计算结果，</w:t>
            </w:r>
            <w:r>
              <w:rPr>
                <w:rFonts w:hint="eastAsia"/>
                <w:color w:val="auto"/>
                <w:highlight w:val="none"/>
              </w:rPr>
              <w:t>本项目污水计入</w:t>
            </w:r>
            <w:r>
              <w:rPr>
                <w:color w:val="auto"/>
                <w:highlight w:val="none"/>
              </w:rPr>
              <w:t>宁德国际物流中心项目</w:t>
            </w:r>
            <w:r>
              <w:rPr>
                <w:rFonts w:hint="eastAsia"/>
                <w:color w:val="auto"/>
                <w:highlight w:val="none"/>
              </w:rPr>
              <w:t>65.2</w:t>
            </w:r>
            <w:r>
              <w:rPr>
                <w:color w:val="auto"/>
                <w:highlight w:val="none"/>
              </w:rPr>
              <w:t>m³/d</w:t>
            </w:r>
            <w:r>
              <w:rPr>
                <w:rFonts w:hint="eastAsia"/>
                <w:color w:val="auto"/>
                <w:highlight w:val="none"/>
              </w:rPr>
              <w:t>内</w:t>
            </w:r>
            <w:r>
              <w:rPr>
                <w:color w:val="auto"/>
                <w:highlight w:val="none"/>
              </w:rPr>
              <w:t>，</w:t>
            </w:r>
            <w:r>
              <w:rPr>
                <w:rFonts w:hint="eastAsia"/>
                <w:color w:val="auto"/>
                <w:highlight w:val="none"/>
              </w:rPr>
              <w:t>故</w:t>
            </w:r>
            <w:r>
              <w:rPr>
                <w:color w:val="auto"/>
                <w:highlight w:val="none"/>
              </w:rPr>
              <w:t>可以接收本项目排放的废水。</w:t>
            </w:r>
          </w:p>
          <w:p>
            <w:pPr>
              <w:pStyle w:val="32"/>
              <w:ind w:firstLine="480"/>
              <w:rPr>
                <w:color w:val="auto"/>
                <w:highlight w:val="none"/>
              </w:rPr>
            </w:pPr>
            <w:r>
              <w:rPr>
                <w:color w:val="auto"/>
                <w:highlight w:val="none"/>
              </w:rPr>
              <w:t>因此本项目生活污水</w:t>
            </w:r>
            <w:r>
              <w:rPr>
                <w:rFonts w:hint="eastAsia"/>
                <w:color w:val="auto"/>
                <w:highlight w:val="none"/>
              </w:rPr>
              <w:t>经预处理后排入漳湾临港工业区临时一体化污水处理厂在水量上可行。</w:t>
            </w:r>
          </w:p>
          <w:p>
            <w:pPr>
              <w:pStyle w:val="32"/>
              <w:ind w:firstLine="480"/>
              <w:rPr>
                <w:color w:val="auto"/>
                <w:highlight w:val="none"/>
              </w:rPr>
            </w:pPr>
            <w:r>
              <w:rPr>
                <w:color w:val="auto"/>
                <w:highlight w:val="none"/>
              </w:rPr>
              <w:t>③</w:t>
            </w:r>
            <w:r>
              <w:rPr>
                <w:rFonts w:hint="eastAsia"/>
                <w:color w:val="auto"/>
                <w:highlight w:val="none"/>
              </w:rPr>
              <w:t>污水管网</w:t>
            </w:r>
          </w:p>
          <w:p>
            <w:pPr>
              <w:pStyle w:val="64"/>
              <w:ind w:firstLine="480"/>
              <w:rPr>
                <w:color w:val="auto"/>
                <w:kern w:val="0"/>
                <w:szCs w:val="24"/>
                <w:highlight w:val="none"/>
              </w:rPr>
            </w:pPr>
            <w:r>
              <w:rPr>
                <w:rFonts w:hint="eastAsia"/>
                <w:color w:val="auto"/>
                <w:kern w:val="0"/>
                <w:szCs w:val="24"/>
                <w:highlight w:val="none"/>
              </w:rPr>
              <w:t>漳湾临港工业区临时一体化污水处理厂市政管网管道铺设已经进入本项目所在区域，管网接驳具有可行性。</w:t>
            </w:r>
          </w:p>
          <w:p>
            <w:pPr>
              <w:pStyle w:val="64"/>
              <w:ind w:firstLine="480"/>
              <w:rPr>
                <w:color w:val="auto"/>
                <w:kern w:val="0"/>
                <w:szCs w:val="24"/>
                <w:highlight w:val="none"/>
              </w:rPr>
            </w:pPr>
            <w:r>
              <w:rPr>
                <w:rFonts w:hint="eastAsia"/>
                <w:color w:val="auto"/>
                <w:kern w:val="0"/>
                <w:szCs w:val="24"/>
                <w:highlight w:val="none"/>
              </w:rPr>
              <w:t>综上所述，本项目建成后，生活污水经过预处理后可以纳入漳湾临港工业区临时一体化污水处理厂处理，对周边地表水环境影响较小。</w:t>
            </w:r>
          </w:p>
          <w:p>
            <w:pPr>
              <w:pStyle w:val="42"/>
              <w:tabs>
                <w:tab w:val="left" w:pos="0"/>
              </w:tabs>
              <w:rPr>
                <w:color w:val="auto"/>
                <w:highlight w:val="none"/>
              </w:rPr>
            </w:pPr>
            <w:r>
              <w:rPr>
                <w:rFonts w:hint="eastAsia"/>
                <w:color w:val="auto"/>
                <w:highlight w:val="none"/>
              </w:rPr>
              <w:t>4.2.2.</w:t>
            </w:r>
            <w:r>
              <w:rPr>
                <w:rFonts w:hint="eastAsia"/>
                <w:color w:val="auto"/>
                <w:highlight w:val="none"/>
                <w:lang w:val="en-US" w:eastAsia="zh-CN"/>
              </w:rPr>
              <w:t>3</w:t>
            </w:r>
            <w:r>
              <w:rPr>
                <w:rFonts w:hint="eastAsia"/>
                <w:color w:val="auto"/>
                <w:highlight w:val="none"/>
              </w:rPr>
              <w:t xml:space="preserve"> 地表水环境影响分析</w:t>
            </w:r>
          </w:p>
          <w:p>
            <w:pPr>
              <w:pStyle w:val="32"/>
              <w:ind w:firstLine="480"/>
              <w:rPr>
                <w:rFonts w:hint="eastAsia"/>
                <w:color w:val="auto"/>
                <w:highlight w:val="none"/>
              </w:rPr>
            </w:pPr>
            <w:r>
              <w:rPr>
                <w:rFonts w:hint="eastAsia"/>
                <w:color w:val="auto"/>
                <w:highlight w:val="none"/>
              </w:rPr>
              <w:t>根据工程分析，本项目外排污水为生活污水。项目生活污水经过</w:t>
            </w:r>
            <w:r>
              <w:rPr>
                <w:rFonts w:hint="eastAsia"/>
                <w:color w:val="auto"/>
                <w:highlight w:val="none"/>
                <w:lang w:val="en-US" w:eastAsia="zh-CN"/>
              </w:rPr>
              <w:t>三级</w:t>
            </w:r>
            <w:r>
              <w:rPr>
                <w:rFonts w:hint="eastAsia"/>
                <w:color w:val="auto"/>
                <w:highlight w:val="none"/>
              </w:rPr>
              <w:t>化粪池预处理，可满足漳湾临港工业区临时一体化污水处理厂进水水质要求，后经污水管网排入漳湾临港工业区临时一体化污水处理厂，漳湾临港工业区临时一体化污水处理厂出水达到《城镇污水处理厂污染物排放标准》（GB18918-2002）一级A标准后排入三都澳，对周边地表水的环境影响较小，全厂最终排放环境量CODcr 0.0</w:t>
            </w:r>
            <w:r>
              <w:rPr>
                <w:rFonts w:hint="eastAsia"/>
                <w:color w:val="auto"/>
                <w:highlight w:val="none"/>
                <w:lang w:val="en-US" w:eastAsia="zh-CN"/>
              </w:rPr>
              <w:t>36</w:t>
            </w:r>
            <w:r>
              <w:rPr>
                <w:rFonts w:hint="eastAsia"/>
                <w:color w:val="auto"/>
                <w:highlight w:val="none"/>
              </w:rPr>
              <w:t>t/a、氨氮0.00</w:t>
            </w:r>
            <w:r>
              <w:rPr>
                <w:rFonts w:hint="eastAsia"/>
                <w:color w:val="auto"/>
                <w:highlight w:val="none"/>
                <w:lang w:val="en-US" w:eastAsia="zh-CN"/>
              </w:rPr>
              <w:t>4</w:t>
            </w:r>
            <w:r>
              <w:rPr>
                <w:rFonts w:hint="eastAsia"/>
                <w:color w:val="auto"/>
                <w:highlight w:val="none"/>
              </w:rPr>
              <w:t>t/a。</w:t>
            </w:r>
          </w:p>
          <w:p>
            <w:pPr>
              <w:pStyle w:val="42"/>
              <w:tabs>
                <w:tab w:val="left" w:pos="0"/>
              </w:tabs>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4.2.2.4 监测计划</w:t>
            </w:r>
          </w:p>
          <w:p>
            <w:pPr>
              <w:pStyle w:val="3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由于本项目生活污水经三级化粪池处理后，排入市政污水管网，最终进入</w:t>
            </w:r>
            <w:r>
              <w:rPr>
                <w:rFonts w:hint="eastAsia"/>
                <w:color w:val="auto"/>
                <w:highlight w:val="none"/>
              </w:rPr>
              <w:t>漳湾临港工业区临时一体化污水处理厂</w:t>
            </w:r>
            <w:r>
              <w:rPr>
                <w:rFonts w:hint="default" w:ascii="Times New Roman" w:hAnsi="Times New Roman" w:eastAsia="宋体" w:cs="Times New Roman"/>
                <w:color w:val="auto"/>
                <w:highlight w:val="none"/>
                <w:lang w:val="en-US" w:eastAsia="zh-CN"/>
              </w:rPr>
              <w:t>处理，初期雨水收集至初期雨水池，经沉淀后循环利用。</w:t>
            </w:r>
          </w:p>
          <w:p>
            <w:pPr>
              <w:pStyle w:val="32"/>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根据《排污单位自行监测技术指南总则》（HJ819 -2017），本项目废水监测计划</w:t>
            </w:r>
            <w:r>
              <w:rPr>
                <w:rFonts w:hint="eastAsia" w:ascii="Times New Roman" w:hAnsi="Times New Roman" w:eastAsia="宋体" w:cs="Times New Roman"/>
                <w:color w:val="auto"/>
                <w:highlight w:val="none"/>
                <w:lang w:val="en-US" w:eastAsia="zh-CN"/>
              </w:rPr>
              <w:t>见</w:t>
            </w:r>
            <w:r>
              <w:rPr>
                <w:rFonts w:hint="default" w:ascii="Times New Roman" w:hAnsi="Times New Roman" w:eastAsia="宋体" w:cs="Times New Roman"/>
                <w:color w:val="auto"/>
                <w:highlight w:val="none"/>
                <w:lang w:val="en-US" w:eastAsia="zh-CN"/>
              </w:rPr>
              <w:t>下表。</w:t>
            </w:r>
          </w:p>
          <w:p>
            <w:pPr>
              <w:pStyle w:val="32"/>
              <w:ind w:firstLine="480"/>
              <w:rPr>
                <w:rFonts w:hint="default" w:ascii="Times New Roman" w:hAnsi="Times New Roman" w:eastAsia="宋体" w:cs="Times New Roman"/>
                <w:color w:val="auto"/>
                <w:highlight w:val="none"/>
                <w:lang w:val="en-US" w:eastAsia="zh-CN"/>
              </w:rPr>
            </w:pPr>
          </w:p>
          <w:p>
            <w:pPr>
              <w:pStyle w:val="32"/>
              <w:ind w:firstLine="480"/>
              <w:rPr>
                <w:rFonts w:hint="default" w:ascii="Times New Roman" w:hAnsi="Times New Roman" w:eastAsia="宋体" w:cs="Times New Roman"/>
                <w:color w:val="auto"/>
                <w:highlight w:val="none"/>
                <w:lang w:val="en-US" w:eastAsia="zh-CN"/>
              </w:rPr>
            </w:pPr>
          </w:p>
          <w:p>
            <w:pPr>
              <w:pStyle w:val="32"/>
              <w:ind w:firstLine="480"/>
              <w:rPr>
                <w:rFonts w:hint="default" w:ascii="Times New Roman" w:hAnsi="Times New Roman" w:eastAsia="宋体" w:cs="Times New Roman"/>
                <w:color w:val="auto"/>
                <w:highlight w:val="none"/>
                <w:lang w:val="en-US" w:eastAsia="zh-CN"/>
              </w:rPr>
            </w:pPr>
          </w:p>
          <w:p>
            <w:pPr>
              <w:pStyle w:val="33"/>
              <w:rPr>
                <w:rFonts w:eastAsia="宋体"/>
                <w:color w:val="auto"/>
                <w:highlight w:val="none"/>
              </w:rPr>
            </w:pPr>
            <w:r>
              <w:rPr>
                <w:rFonts w:eastAsia="宋体"/>
                <w:color w:val="auto"/>
                <w:highlight w:val="none"/>
              </w:rPr>
              <w:t>表</w:t>
            </w:r>
            <w:r>
              <w:rPr>
                <w:rFonts w:hint="eastAsia" w:eastAsia="宋体"/>
                <w:color w:val="auto"/>
                <w:highlight w:val="none"/>
              </w:rPr>
              <w:t>4.2.</w:t>
            </w:r>
            <w:r>
              <w:rPr>
                <w:rFonts w:hint="eastAsia" w:eastAsia="宋体"/>
                <w:color w:val="auto"/>
                <w:highlight w:val="none"/>
                <w:lang w:val="en-US" w:eastAsia="zh-CN"/>
              </w:rPr>
              <w:t>22</w:t>
            </w:r>
            <w:r>
              <w:rPr>
                <w:rFonts w:hint="eastAsia" w:eastAsia="宋体"/>
                <w:color w:val="auto"/>
                <w:highlight w:val="none"/>
              </w:rPr>
              <w:t xml:space="preserve">  本</w:t>
            </w:r>
            <w:r>
              <w:rPr>
                <w:rFonts w:eastAsia="宋体"/>
                <w:color w:val="auto"/>
                <w:highlight w:val="none"/>
              </w:rPr>
              <w:t>项目</w:t>
            </w:r>
            <w:r>
              <w:rPr>
                <w:rFonts w:hint="eastAsia" w:eastAsia="宋体"/>
                <w:color w:val="auto"/>
                <w:highlight w:val="none"/>
                <w:lang w:val="en-US" w:eastAsia="zh-CN"/>
              </w:rPr>
              <w:t>废水</w:t>
            </w:r>
            <w:r>
              <w:rPr>
                <w:rFonts w:hint="eastAsia" w:eastAsia="宋体"/>
                <w:color w:val="auto"/>
                <w:highlight w:val="none"/>
              </w:rPr>
              <w:t>监测计划</w:t>
            </w:r>
            <w:r>
              <w:rPr>
                <w:rFonts w:eastAsia="宋体"/>
                <w:color w:val="auto"/>
                <w:highlight w:val="none"/>
              </w:rPr>
              <w:t>一览表</w:t>
            </w:r>
          </w:p>
          <w:tbl>
            <w:tblPr>
              <w:tblStyle w:val="3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66"/>
              <w:gridCol w:w="927"/>
              <w:gridCol w:w="4200"/>
              <w:gridCol w:w="2002"/>
              <w:gridCol w:w="115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 w:hRule="atLeast"/>
              </w:trPr>
              <w:tc>
                <w:tcPr>
                  <w:tcW w:w="866" w:type="dxa"/>
                  <w:vAlign w:val="center"/>
                </w:tcPr>
                <w:p>
                  <w:pPr>
                    <w:pStyle w:val="39"/>
                    <w:spacing w:line="300" w:lineRule="exact"/>
                    <w:rPr>
                      <w:rFonts w:hint="default" w:eastAsia="宋体"/>
                      <w:color w:val="auto"/>
                      <w:highlight w:val="none"/>
                      <w:lang w:val="en-US" w:eastAsia="zh-CN"/>
                    </w:rPr>
                  </w:pPr>
                  <w:r>
                    <w:rPr>
                      <w:rFonts w:hint="eastAsia"/>
                      <w:color w:val="auto"/>
                      <w:highlight w:val="none"/>
                      <w:lang w:val="en-US" w:eastAsia="zh-CN"/>
                    </w:rPr>
                    <w:t>监测项目</w:t>
                  </w:r>
                </w:p>
              </w:tc>
              <w:tc>
                <w:tcPr>
                  <w:tcW w:w="927" w:type="dxa"/>
                  <w:vAlign w:val="center"/>
                </w:tcPr>
                <w:p>
                  <w:pPr>
                    <w:pStyle w:val="39"/>
                    <w:spacing w:line="300" w:lineRule="exact"/>
                    <w:rPr>
                      <w:rFonts w:hint="default"/>
                      <w:color w:val="auto"/>
                      <w:highlight w:val="none"/>
                      <w:lang w:val="en-US" w:eastAsia="zh-CN"/>
                    </w:rPr>
                  </w:pPr>
                  <w:r>
                    <w:rPr>
                      <w:rFonts w:hint="eastAsia"/>
                      <w:color w:val="auto"/>
                      <w:highlight w:val="none"/>
                      <w:lang w:val="en-US" w:eastAsia="zh-CN"/>
                    </w:rPr>
                    <w:t>监测位置</w:t>
                  </w:r>
                </w:p>
              </w:tc>
              <w:tc>
                <w:tcPr>
                  <w:tcW w:w="4200" w:type="dxa"/>
                  <w:vAlign w:val="center"/>
                </w:tcPr>
                <w:p>
                  <w:pPr>
                    <w:pStyle w:val="39"/>
                    <w:spacing w:line="300" w:lineRule="exact"/>
                    <w:rPr>
                      <w:rFonts w:hint="eastAsia" w:eastAsia="宋体"/>
                      <w:color w:val="auto"/>
                      <w:highlight w:val="none"/>
                      <w:lang w:eastAsia="zh-CN"/>
                    </w:rPr>
                  </w:pPr>
                  <w:r>
                    <w:rPr>
                      <w:rFonts w:hint="eastAsia"/>
                      <w:color w:val="auto"/>
                      <w:highlight w:val="none"/>
                    </w:rPr>
                    <w:t>监测</w:t>
                  </w:r>
                  <w:r>
                    <w:rPr>
                      <w:rFonts w:hint="eastAsia"/>
                      <w:color w:val="auto"/>
                      <w:highlight w:val="none"/>
                      <w:lang w:val="en-US" w:eastAsia="zh-CN"/>
                    </w:rPr>
                    <w:t>因子</w:t>
                  </w:r>
                </w:p>
              </w:tc>
              <w:tc>
                <w:tcPr>
                  <w:tcW w:w="0" w:type="auto"/>
                  <w:vAlign w:val="center"/>
                </w:tcPr>
                <w:p>
                  <w:pPr>
                    <w:pStyle w:val="39"/>
                    <w:spacing w:line="300" w:lineRule="exact"/>
                    <w:rPr>
                      <w:color w:val="auto"/>
                      <w:highlight w:val="none"/>
                    </w:rPr>
                  </w:pPr>
                  <w:r>
                    <w:rPr>
                      <w:rFonts w:hint="eastAsia"/>
                      <w:color w:val="auto"/>
                      <w:highlight w:val="none"/>
                    </w:rPr>
                    <w:t>执行标准</w:t>
                  </w:r>
                </w:p>
              </w:tc>
              <w:tc>
                <w:tcPr>
                  <w:tcW w:w="0" w:type="auto"/>
                  <w:vAlign w:val="center"/>
                </w:tcPr>
                <w:p>
                  <w:pPr>
                    <w:pStyle w:val="39"/>
                    <w:spacing w:line="300" w:lineRule="exact"/>
                    <w:rPr>
                      <w:color w:val="auto"/>
                      <w:highlight w:val="none"/>
                    </w:rPr>
                  </w:pPr>
                  <w:r>
                    <w:rPr>
                      <w:rFonts w:hint="eastAsia"/>
                      <w:color w:val="auto"/>
                      <w:highlight w:val="none"/>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866" w:type="dxa"/>
                  <w:vAlign w:val="center"/>
                </w:tcPr>
                <w:p>
                  <w:pPr>
                    <w:widowControl/>
                    <w:jc w:val="center"/>
                    <w:textAlignment w:val="center"/>
                    <w:rPr>
                      <w:rFonts w:hint="default"/>
                      <w:color w:val="auto"/>
                      <w:highlight w:val="none"/>
                      <w:lang w:val="en-US"/>
                    </w:rPr>
                  </w:pPr>
                  <w:r>
                    <w:rPr>
                      <w:rFonts w:hint="eastAsia"/>
                      <w:color w:val="auto"/>
                      <w:kern w:val="0"/>
                      <w:szCs w:val="21"/>
                      <w:highlight w:val="none"/>
                      <w:lang w:val="en-US" w:eastAsia="zh-CN" w:bidi="ar"/>
                    </w:rPr>
                    <w:t>生活污水</w:t>
                  </w:r>
                </w:p>
              </w:tc>
              <w:tc>
                <w:tcPr>
                  <w:tcW w:w="927" w:type="dxa"/>
                  <w:vAlign w:val="center"/>
                </w:tcPr>
                <w:p>
                  <w:pPr>
                    <w:widowControl/>
                    <w:jc w:val="center"/>
                    <w:textAlignment w:val="center"/>
                    <w:rPr>
                      <w:rFonts w:hint="eastAsia"/>
                      <w:color w:val="auto"/>
                      <w:kern w:val="0"/>
                      <w:szCs w:val="21"/>
                      <w:highlight w:val="none"/>
                      <w:lang w:val="en-US" w:eastAsia="zh-CN" w:bidi="ar"/>
                    </w:rPr>
                  </w:pPr>
                  <w:r>
                    <w:rPr>
                      <w:rFonts w:hint="eastAsia"/>
                      <w:color w:val="auto"/>
                      <w:kern w:val="0"/>
                      <w:szCs w:val="21"/>
                      <w:highlight w:val="none"/>
                      <w:lang w:val="en-US" w:eastAsia="zh-CN" w:bidi="ar"/>
                    </w:rPr>
                    <w:t>生活污水排口</w:t>
                  </w:r>
                </w:p>
              </w:tc>
              <w:tc>
                <w:tcPr>
                  <w:tcW w:w="4200" w:type="dxa"/>
                  <w:vAlign w:val="center"/>
                </w:tcPr>
                <w:p>
                  <w:pPr>
                    <w:pStyle w:val="39"/>
                    <w:spacing w:line="300" w:lineRule="exact"/>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-N、SS、氟化物、总氮、总磷、氨氮、总锌、石油类、总铜、硫化物、总砷、总铅、总镉、总镍、总汞</w:t>
                  </w:r>
                </w:p>
              </w:tc>
              <w:tc>
                <w:tcPr>
                  <w:tcW w:w="2002" w:type="dxa"/>
                  <w:vAlign w:val="center"/>
                </w:tcPr>
                <w:p>
                  <w:pPr>
                    <w:pStyle w:val="39"/>
                    <w:spacing w:line="300" w:lineRule="exact"/>
                    <w:rPr>
                      <w:rFonts w:hint="default" w:eastAsia="宋体"/>
                      <w:color w:val="auto"/>
                      <w:highlight w:val="none"/>
                      <w:lang w:val="en-US" w:eastAsia="zh-CN"/>
                    </w:rPr>
                  </w:pPr>
                  <w:r>
                    <w:rPr>
                      <w:rFonts w:hint="eastAsia"/>
                      <w:color w:val="auto"/>
                      <w:kern w:val="0"/>
                      <w:szCs w:val="24"/>
                      <w:highlight w:val="none"/>
                    </w:rPr>
                    <w:t>漳湾临港工业区临时一体化污水处理厂</w:t>
                  </w:r>
                  <w:r>
                    <w:rPr>
                      <w:rFonts w:hint="eastAsia"/>
                      <w:color w:val="auto"/>
                      <w:kern w:val="0"/>
                      <w:szCs w:val="24"/>
                      <w:highlight w:val="none"/>
                      <w:lang w:val="en-US" w:eastAsia="zh-CN"/>
                    </w:rPr>
                    <w:t>进水水质要求</w:t>
                  </w:r>
                </w:p>
              </w:tc>
              <w:tc>
                <w:tcPr>
                  <w:tcW w:w="1159" w:type="dxa"/>
                  <w:vAlign w:val="center"/>
                </w:tcPr>
                <w:p>
                  <w:pPr>
                    <w:pStyle w:val="39"/>
                    <w:spacing w:line="300" w:lineRule="exact"/>
                    <w:rPr>
                      <w:rFonts w:hint="default" w:eastAsia="宋体"/>
                      <w:color w:val="auto"/>
                      <w:highlight w:val="none"/>
                      <w:lang w:val="en-US" w:eastAsia="zh-CN"/>
                    </w:rPr>
                  </w:pPr>
                  <w:r>
                    <w:rPr>
                      <w:rFonts w:hint="eastAsia"/>
                      <w:color w:val="auto"/>
                      <w:highlight w:val="none"/>
                      <w:lang w:val="en-US" w:eastAsia="zh-CN"/>
                    </w:rPr>
                    <w:t>1次/季度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66" w:type="dxa"/>
                  <w:vAlign w:val="center"/>
                </w:tcPr>
                <w:p>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初期雨水</w:t>
                  </w:r>
                </w:p>
              </w:tc>
              <w:tc>
                <w:tcPr>
                  <w:tcW w:w="927" w:type="dxa"/>
                  <w:vAlign w:val="center"/>
                </w:tcPr>
                <w:p>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初期雨水排口</w:t>
                  </w:r>
                </w:p>
              </w:tc>
              <w:tc>
                <w:tcPr>
                  <w:tcW w:w="4200" w:type="dxa"/>
                  <w:vAlign w:val="center"/>
                </w:tcPr>
                <w:p>
                  <w:pPr>
                    <w:pStyle w:val="39"/>
                    <w:spacing w:line="300" w:lineRule="exact"/>
                    <w:rPr>
                      <w:rFonts w:hint="eastAsia"/>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、SS、铬、镉、砷、铅、汞、锰、铜、镍、氟、铊、锑、锌、铁</w:t>
                  </w:r>
                </w:p>
              </w:tc>
              <w:tc>
                <w:tcPr>
                  <w:tcW w:w="2002" w:type="dxa"/>
                  <w:vAlign w:val="center"/>
                </w:tcPr>
                <w:p>
                  <w:pPr>
                    <w:pStyle w:val="39"/>
                    <w:spacing w:line="300" w:lineRule="exact"/>
                    <w:rPr>
                      <w:rFonts w:hint="eastAsia" w:eastAsia="宋体"/>
                      <w:color w:val="auto"/>
                      <w:highlight w:val="none"/>
                      <w:lang w:val="en-US" w:eastAsia="zh-CN"/>
                    </w:rPr>
                  </w:pPr>
                  <w:r>
                    <w:rPr>
                      <w:rFonts w:hint="eastAsia"/>
                      <w:color w:val="auto"/>
                      <w:highlight w:val="none"/>
                      <w:lang w:val="en-US" w:eastAsia="zh-CN"/>
                    </w:rPr>
                    <w:t>/</w:t>
                  </w:r>
                </w:p>
              </w:tc>
              <w:tc>
                <w:tcPr>
                  <w:tcW w:w="1159" w:type="dxa"/>
                  <w:vAlign w:val="center"/>
                </w:tcPr>
                <w:p>
                  <w:pPr>
                    <w:pStyle w:val="39"/>
                    <w:spacing w:line="300" w:lineRule="exact"/>
                    <w:rPr>
                      <w:rFonts w:hint="eastAsia"/>
                      <w:color w:val="auto"/>
                      <w:highlight w:val="none"/>
                    </w:rPr>
                  </w:pPr>
                  <w:r>
                    <w:rPr>
                      <w:rFonts w:hint="eastAsia"/>
                      <w:color w:val="auto"/>
                      <w:highlight w:val="none"/>
                      <w:lang w:val="en-US" w:eastAsia="zh-CN"/>
                    </w:rPr>
                    <w:t>1次/季度（下雨时监测）</w:t>
                  </w:r>
                </w:p>
              </w:tc>
            </w:tr>
          </w:tbl>
          <w:p>
            <w:pPr>
              <w:pStyle w:val="32"/>
              <w:ind w:firstLine="480"/>
              <w:rPr>
                <w:rFonts w:hint="default" w:ascii="Times New Roman" w:hAnsi="Times New Roman" w:eastAsia="宋体" w:cs="Times New Roman"/>
                <w:color w:val="auto"/>
                <w:highlight w:val="none"/>
                <w:lang w:val="en-US" w:eastAsia="zh-CN"/>
              </w:rPr>
            </w:pPr>
          </w:p>
          <w:p>
            <w:pPr>
              <w:pStyle w:val="29"/>
              <w:tabs>
                <w:tab w:val="left" w:pos="644"/>
              </w:tabs>
              <w:rPr>
                <w:color w:val="auto"/>
                <w:highlight w:val="none"/>
              </w:rPr>
            </w:pPr>
            <w:r>
              <w:rPr>
                <w:rFonts w:hint="eastAsia"/>
                <w:color w:val="auto"/>
                <w:highlight w:val="none"/>
              </w:rPr>
              <w:t>4.2.3 噪声影响及防治措施</w:t>
            </w:r>
          </w:p>
          <w:p>
            <w:pPr>
              <w:pStyle w:val="42"/>
              <w:tabs>
                <w:tab w:val="left" w:pos="0"/>
              </w:tabs>
              <w:rPr>
                <w:color w:val="auto"/>
                <w:highlight w:val="none"/>
              </w:rPr>
            </w:pPr>
            <w:r>
              <w:rPr>
                <w:rFonts w:hint="eastAsia"/>
                <w:color w:val="auto"/>
                <w:highlight w:val="none"/>
              </w:rPr>
              <w:t>4.2.3.1 噪声源分析</w:t>
            </w:r>
          </w:p>
          <w:p>
            <w:pPr>
              <w:pStyle w:val="32"/>
              <w:ind w:firstLine="480"/>
              <w:rPr>
                <w:color w:val="auto"/>
                <w:highlight w:val="none"/>
              </w:rPr>
            </w:pPr>
            <w:r>
              <w:rPr>
                <w:rFonts w:hint="eastAsia"/>
                <w:color w:val="auto"/>
                <w:highlight w:val="none"/>
              </w:rPr>
              <w:t>本工程噪声源主要有桥式抓斗起重机、横向布料机、胶带输送机、</w:t>
            </w:r>
            <w:r>
              <w:rPr>
                <w:rFonts w:hint="eastAsia"/>
                <w:color w:val="auto"/>
                <w:highlight w:val="none"/>
                <w:lang w:val="en-US" w:eastAsia="zh-CN"/>
              </w:rPr>
              <w:t>圆筒混料机、</w:t>
            </w:r>
            <w:r>
              <w:rPr>
                <w:rFonts w:hint="eastAsia"/>
                <w:color w:val="auto"/>
                <w:highlight w:val="none"/>
              </w:rPr>
              <w:t>风机、泵类等，其声源噪声值在70~8</w:t>
            </w:r>
            <w:r>
              <w:rPr>
                <w:rFonts w:hint="eastAsia"/>
                <w:color w:val="auto"/>
                <w:highlight w:val="none"/>
                <w:lang w:val="en-US" w:eastAsia="zh-CN"/>
              </w:rPr>
              <w:t>0</w:t>
            </w:r>
            <w:r>
              <w:rPr>
                <w:rFonts w:hint="eastAsia"/>
                <w:color w:val="auto"/>
                <w:highlight w:val="none"/>
              </w:rPr>
              <w:t>dB之间，详见下表。</w:t>
            </w:r>
          </w:p>
          <w:p>
            <w:pPr>
              <w:pStyle w:val="33"/>
              <w:rPr>
                <w:color w:val="auto"/>
                <w:highlight w:val="none"/>
              </w:rPr>
            </w:pPr>
          </w:p>
        </w:tc>
      </w:tr>
    </w:tbl>
    <w:p>
      <w:pPr>
        <w:rPr>
          <w:color w:val="auto"/>
          <w:highlight w:val="none"/>
        </w:rPr>
      </w:pPr>
    </w:p>
    <w:p>
      <w:pPr>
        <w:rPr>
          <w:color w:val="auto"/>
          <w:highlight w:val="none"/>
        </w:rPr>
        <w:sectPr>
          <w:pgSz w:w="11906" w:h="16838"/>
          <w:pgMar w:top="1417" w:right="1304" w:bottom="1304" w:left="1304" w:header="851" w:footer="992" w:gutter="0"/>
          <w:cols w:space="425" w:num="1"/>
          <w:docGrid w:type="lines" w:linePitch="312" w:charSpace="0"/>
        </w:sectPr>
      </w:pPr>
    </w:p>
    <w:p>
      <w:pPr>
        <w:pStyle w:val="65"/>
        <w:rPr>
          <w:rFonts w:cs="Times New Roman"/>
          <w:color w:val="auto"/>
          <w:highlight w:val="none"/>
        </w:rPr>
      </w:pPr>
      <w:r>
        <w:rPr>
          <w:rFonts w:hint="eastAsia" w:cs="Times New Roman"/>
          <w:color w:val="auto"/>
          <w:highlight w:val="none"/>
        </w:rPr>
        <w:t>表4.2.</w:t>
      </w:r>
      <w:r>
        <w:rPr>
          <w:rFonts w:hint="eastAsia" w:cs="Times New Roman"/>
          <w:color w:val="auto"/>
          <w:highlight w:val="none"/>
          <w:lang w:val="en-US" w:eastAsia="zh-CN"/>
        </w:rPr>
        <w:t>23</w:t>
      </w:r>
      <w:r>
        <w:rPr>
          <w:rFonts w:hint="eastAsia" w:cs="Times New Roman"/>
          <w:color w:val="auto"/>
          <w:highlight w:val="none"/>
        </w:rPr>
        <w:t xml:space="preserve">  </w:t>
      </w:r>
      <w:r>
        <w:rPr>
          <w:rFonts w:cs="Times New Roman"/>
          <w:color w:val="auto"/>
          <w:highlight w:val="none"/>
        </w:rPr>
        <w:t>本项目</w:t>
      </w:r>
      <w:r>
        <w:rPr>
          <w:rFonts w:hint="eastAsia" w:cs="Times New Roman"/>
          <w:color w:val="auto"/>
          <w:highlight w:val="none"/>
        </w:rPr>
        <w:t>室外</w:t>
      </w:r>
      <w:r>
        <w:rPr>
          <w:rFonts w:cs="Times New Roman"/>
          <w:color w:val="auto"/>
          <w:highlight w:val="none"/>
        </w:rPr>
        <w:t>固定声源频发噪声源强表</w:t>
      </w:r>
      <w:r>
        <w:rPr>
          <w:rFonts w:hint="eastAsia" w:cs="Times New Roman"/>
          <w:color w:val="auto"/>
          <w:highlight w:val="none"/>
        </w:rPr>
        <w:t xml:space="preserve">    单位：dB(A)</w:t>
      </w:r>
    </w:p>
    <w:tbl>
      <w:tblPr>
        <w:tblStyle w:val="2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4"/>
        <w:gridCol w:w="2668"/>
        <w:gridCol w:w="1542"/>
        <w:gridCol w:w="708"/>
        <w:gridCol w:w="708"/>
        <w:gridCol w:w="946"/>
        <w:gridCol w:w="1582"/>
        <w:gridCol w:w="4044"/>
        <w:gridCol w:w="1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vMerge w:val="restart"/>
            <w:noWrap/>
            <w:vAlign w:val="center"/>
          </w:tcPr>
          <w:p>
            <w:pPr>
              <w:widowControl/>
              <w:jc w:val="center"/>
              <w:rPr>
                <w:color w:val="auto"/>
                <w:kern w:val="0"/>
                <w:szCs w:val="21"/>
                <w:highlight w:val="none"/>
              </w:rPr>
            </w:pPr>
            <w:r>
              <w:rPr>
                <w:color w:val="auto"/>
                <w:kern w:val="0"/>
                <w:szCs w:val="21"/>
                <w:highlight w:val="none"/>
              </w:rPr>
              <w:t>序号</w:t>
            </w:r>
          </w:p>
        </w:tc>
        <w:tc>
          <w:tcPr>
            <w:tcW w:w="931" w:type="pct"/>
            <w:vMerge w:val="restart"/>
            <w:noWrap/>
            <w:vAlign w:val="center"/>
          </w:tcPr>
          <w:p>
            <w:pPr>
              <w:widowControl/>
              <w:jc w:val="center"/>
              <w:rPr>
                <w:color w:val="auto"/>
                <w:kern w:val="0"/>
                <w:szCs w:val="21"/>
                <w:highlight w:val="none"/>
              </w:rPr>
            </w:pPr>
            <w:r>
              <w:rPr>
                <w:color w:val="auto"/>
                <w:kern w:val="0"/>
                <w:szCs w:val="21"/>
                <w:highlight w:val="none"/>
              </w:rPr>
              <w:t>声源名称</w:t>
            </w:r>
          </w:p>
        </w:tc>
        <w:tc>
          <w:tcPr>
            <w:tcW w:w="538" w:type="pct"/>
            <w:vMerge w:val="restart"/>
            <w:noWrap/>
            <w:vAlign w:val="center"/>
          </w:tcPr>
          <w:p>
            <w:pPr>
              <w:widowControl/>
              <w:jc w:val="center"/>
              <w:rPr>
                <w:color w:val="auto"/>
                <w:kern w:val="0"/>
                <w:szCs w:val="21"/>
                <w:highlight w:val="none"/>
              </w:rPr>
            </w:pPr>
            <w:r>
              <w:rPr>
                <w:color w:val="auto"/>
                <w:kern w:val="0"/>
                <w:szCs w:val="21"/>
                <w:highlight w:val="none"/>
              </w:rPr>
              <w:t>数量</w:t>
            </w:r>
          </w:p>
        </w:tc>
        <w:tc>
          <w:tcPr>
            <w:tcW w:w="824" w:type="pct"/>
            <w:gridSpan w:val="3"/>
            <w:vAlign w:val="center"/>
          </w:tcPr>
          <w:p>
            <w:pPr>
              <w:widowControl/>
              <w:jc w:val="center"/>
              <w:rPr>
                <w:color w:val="auto"/>
                <w:kern w:val="0"/>
                <w:szCs w:val="21"/>
                <w:highlight w:val="none"/>
              </w:rPr>
            </w:pPr>
            <w:r>
              <w:rPr>
                <w:color w:val="auto"/>
                <w:kern w:val="0"/>
                <w:szCs w:val="21"/>
                <w:highlight w:val="none"/>
              </w:rPr>
              <w:t>空间相对位置</w:t>
            </w:r>
          </w:p>
        </w:tc>
        <w:tc>
          <w:tcPr>
            <w:tcW w:w="552" w:type="pct"/>
            <w:vMerge w:val="restart"/>
            <w:vAlign w:val="center"/>
          </w:tcPr>
          <w:p>
            <w:pPr>
              <w:widowControl/>
              <w:jc w:val="center"/>
              <w:rPr>
                <w:color w:val="auto"/>
                <w:kern w:val="0"/>
                <w:szCs w:val="21"/>
                <w:highlight w:val="none"/>
              </w:rPr>
            </w:pPr>
            <w:r>
              <w:rPr>
                <w:color w:val="auto"/>
                <w:kern w:val="0"/>
                <w:szCs w:val="21"/>
                <w:highlight w:val="none"/>
              </w:rPr>
              <w:t>声功率级dB(A)</w:t>
            </w:r>
          </w:p>
        </w:tc>
        <w:tc>
          <w:tcPr>
            <w:tcW w:w="1411" w:type="pct"/>
            <w:vMerge w:val="restart"/>
            <w:vAlign w:val="center"/>
          </w:tcPr>
          <w:p>
            <w:pPr>
              <w:widowControl/>
              <w:jc w:val="center"/>
              <w:rPr>
                <w:color w:val="auto"/>
                <w:kern w:val="0"/>
                <w:szCs w:val="21"/>
                <w:highlight w:val="none"/>
              </w:rPr>
            </w:pPr>
            <w:r>
              <w:rPr>
                <w:color w:val="auto"/>
                <w:kern w:val="0"/>
                <w:szCs w:val="21"/>
                <w:highlight w:val="none"/>
              </w:rPr>
              <w:t>声源控制措施</w:t>
            </w:r>
          </w:p>
        </w:tc>
        <w:tc>
          <w:tcPr>
            <w:tcW w:w="467" w:type="pct"/>
            <w:vMerge w:val="restart"/>
            <w:noWrap/>
            <w:vAlign w:val="center"/>
          </w:tcPr>
          <w:p>
            <w:pPr>
              <w:widowControl/>
              <w:jc w:val="center"/>
              <w:rPr>
                <w:color w:val="auto"/>
                <w:kern w:val="0"/>
                <w:szCs w:val="21"/>
                <w:highlight w:val="none"/>
              </w:rPr>
            </w:pPr>
            <w:r>
              <w:rPr>
                <w:color w:val="auto"/>
                <w:kern w:val="0"/>
                <w:szCs w:val="21"/>
                <w:highlight w:val="none"/>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vMerge w:val="continue"/>
            <w:vAlign w:val="center"/>
          </w:tcPr>
          <w:p>
            <w:pPr>
              <w:widowControl/>
              <w:jc w:val="center"/>
              <w:rPr>
                <w:color w:val="auto"/>
                <w:kern w:val="0"/>
                <w:szCs w:val="21"/>
                <w:highlight w:val="none"/>
              </w:rPr>
            </w:pPr>
          </w:p>
        </w:tc>
        <w:tc>
          <w:tcPr>
            <w:tcW w:w="931" w:type="pct"/>
            <w:vMerge w:val="continue"/>
            <w:vAlign w:val="center"/>
          </w:tcPr>
          <w:p>
            <w:pPr>
              <w:widowControl/>
              <w:jc w:val="center"/>
              <w:rPr>
                <w:color w:val="auto"/>
                <w:kern w:val="0"/>
                <w:szCs w:val="21"/>
                <w:highlight w:val="none"/>
              </w:rPr>
            </w:pPr>
          </w:p>
        </w:tc>
        <w:tc>
          <w:tcPr>
            <w:tcW w:w="538" w:type="pct"/>
            <w:vMerge w:val="continue"/>
            <w:vAlign w:val="center"/>
          </w:tcPr>
          <w:p>
            <w:pPr>
              <w:widowControl/>
              <w:jc w:val="center"/>
              <w:rPr>
                <w:color w:val="auto"/>
                <w:kern w:val="0"/>
                <w:szCs w:val="21"/>
                <w:highlight w:val="none"/>
              </w:rPr>
            </w:pPr>
          </w:p>
        </w:tc>
        <w:tc>
          <w:tcPr>
            <w:tcW w:w="247" w:type="pct"/>
            <w:vAlign w:val="center"/>
          </w:tcPr>
          <w:p>
            <w:pPr>
              <w:widowControl/>
              <w:jc w:val="center"/>
              <w:rPr>
                <w:color w:val="auto"/>
                <w:kern w:val="0"/>
                <w:szCs w:val="21"/>
                <w:highlight w:val="none"/>
              </w:rPr>
            </w:pPr>
            <w:r>
              <w:rPr>
                <w:color w:val="auto"/>
                <w:kern w:val="0"/>
                <w:szCs w:val="21"/>
                <w:highlight w:val="none"/>
              </w:rPr>
              <w:t>x</w:t>
            </w:r>
          </w:p>
        </w:tc>
        <w:tc>
          <w:tcPr>
            <w:tcW w:w="247" w:type="pct"/>
            <w:vAlign w:val="center"/>
          </w:tcPr>
          <w:p>
            <w:pPr>
              <w:widowControl/>
              <w:jc w:val="center"/>
              <w:rPr>
                <w:color w:val="auto"/>
                <w:kern w:val="0"/>
                <w:szCs w:val="21"/>
                <w:highlight w:val="none"/>
              </w:rPr>
            </w:pPr>
            <w:r>
              <w:rPr>
                <w:color w:val="auto"/>
                <w:kern w:val="0"/>
                <w:szCs w:val="21"/>
                <w:highlight w:val="none"/>
              </w:rPr>
              <w:t>y</w:t>
            </w:r>
          </w:p>
        </w:tc>
        <w:tc>
          <w:tcPr>
            <w:tcW w:w="330" w:type="pct"/>
            <w:vAlign w:val="center"/>
          </w:tcPr>
          <w:p>
            <w:pPr>
              <w:widowControl/>
              <w:jc w:val="center"/>
              <w:rPr>
                <w:color w:val="auto"/>
                <w:kern w:val="0"/>
                <w:szCs w:val="21"/>
                <w:highlight w:val="none"/>
              </w:rPr>
            </w:pPr>
            <w:r>
              <w:rPr>
                <w:color w:val="auto"/>
                <w:kern w:val="0"/>
                <w:szCs w:val="21"/>
                <w:highlight w:val="none"/>
              </w:rPr>
              <w:t>z</w:t>
            </w:r>
          </w:p>
        </w:tc>
        <w:tc>
          <w:tcPr>
            <w:tcW w:w="552" w:type="pct"/>
            <w:vMerge w:val="continue"/>
            <w:vAlign w:val="center"/>
          </w:tcPr>
          <w:p>
            <w:pPr>
              <w:widowControl/>
              <w:jc w:val="center"/>
              <w:rPr>
                <w:color w:val="auto"/>
                <w:kern w:val="0"/>
                <w:szCs w:val="21"/>
                <w:highlight w:val="none"/>
              </w:rPr>
            </w:pPr>
          </w:p>
        </w:tc>
        <w:tc>
          <w:tcPr>
            <w:tcW w:w="1411" w:type="pct"/>
            <w:vMerge w:val="continue"/>
            <w:vAlign w:val="center"/>
          </w:tcPr>
          <w:p>
            <w:pPr>
              <w:widowControl/>
              <w:jc w:val="center"/>
              <w:rPr>
                <w:color w:val="auto"/>
                <w:kern w:val="0"/>
                <w:szCs w:val="21"/>
                <w:highlight w:val="none"/>
              </w:rPr>
            </w:pPr>
          </w:p>
        </w:tc>
        <w:tc>
          <w:tcPr>
            <w:tcW w:w="467" w:type="pct"/>
            <w:vMerge w:val="continue"/>
            <w:vAlign w:val="center"/>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color w:val="auto"/>
                <w:kern w:val="0"/>
                <w:szCs w:val="21"/>
                <w:highlight w:val="none"/>
              </w:rPr>
            </w:pPr>
            <w:r>
              <w:rPr>
                <w:color w:val="auto"/>
                <w:kern w:val="0"/>
                <w:szCs w:val="21"/>
                <w:highlight w:val="none"/>
              </w:rPr>
              <w:t>1</w:t>
            </w:r>
          </w:p>
        </w:tc>
        <w:tc>
          <w:tcPr>
            <w:tcW w:w="931" w:type="pct"/>
            <w:noWrap/>
            <w:vAlign w:val="center"/>
          </w:tcPr>
          <w:p>
            <w:pPr>
              <w:widowControl/>
              <w:jc w:val="center"/>
              <w:rPr>
                <w:color w:val="auto"/>
                <w:kern w:val="0"/>
                <w:szCs w:val="21"/>
                <w:highlight w:val="none"/>
              </w:rPr>
            </w:pPr>
            <w:r>
              <w:rPr>
                <w:rFonts w:hint="eastAsia"/>
                <w:color w:val="auto"/>
                <w:kern w:val="0"/>
                <w:szCs w:val="21"/>
                <w:highlight w:val="none"/>
              </w:rPr>
              <w:t>M</w:t>
            </w:r>
            <w:r>
              <w:rPr>
                <w:color w:val="auto"/>
                <w:kern w:val="0"/>
                <w:szCs w:val="21"/>
                <w:highlight w:val="none"/>
              </w:rPr>
              <w:t>-</w:t>
            </w:r>
            <w:r>
              <w:rPr>
                <w:rFonts w:hint="eastAsia"/>
                <w:color w:val="auto"/>
                <w:kern w:val="0"/>
                <w:szCs w:val="21"/>
                <w:highlight w:val="none"/>
                <w:lang w:val="en-US" w:eastAsia="zh-CN"/>
              </w:rPr>
              <w:t>9#</w:t>
            </w:r>
            <w:r>
              <w:rPr>
                <w:rFonts w:hint="eastAsia"/>
                <w:color w:val="auto"/>
                <w:kern w:val="0"/>
                <w:szCs w:val="21"/>
                <w:highlight w:val="none"/>
              </w:rPr>
              <w:t>胶带运输机</w:t>
            </w:r>
          </w:p>
        </w:tc>
        <w:tc>
          <w:tcPr>
            <w:tcW w:w="538" w:type="pct"/>
            <w:noWrap/>
            <w:vAlign w:val="center"/>
          </w:tcPr>
          <w:p>
            <w:pPr>
              <w:widowControl/>
              <w:jc w:val="center"/>
              <w:rPr>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w:t>
            </w:r>
            <w:r>
              <w:rPr>
                <w:color w:val="auto"/>
                <w:kern w:val="0"/>
                <w:szCs w:val="21"/>
                <w:highlight w:val="none"/>
              </w:rPr>
              <w:t>434</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08</w:t>
            </w:r>
          </w:p>
        </w:tc>
        <w:tc>
          <w:tcPr>
            <w:tcW w:w="330" w:type="pct"/>
            <w:vAlign w:val="center"/>
          </w:tcPr>
          <w:p>
            <w:pPr>
              <w:widowControl/>
              <w:jc w:val="center"/>
              <w:rPr>
                <w:color w:val="auto"/>
                <w:kern w:val="0"/>
                <w:szCs w:val="21"/>
                <w:highlight w:val="none"/>
              </w:rPr>
            </w:pPr>
            <w:r>
              <w:rPr>
                <w:rFonts w:hint="eastAsia"/>
                <w:color w:val="auto"/>
                <w:kern w:val="0"/>
                <w:szCs w:val="21"/>
                <w:highlight w:val="none"/>
              </w:rPr>
              <w:t>1</w:t>
            </w:r>
          </w:p>
        </w:tc>
        <w:tc>
          <w:tcPr>
            <w:tcW w:w="552" w:type="pct"/>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1411" w:type="pct"/>
            <w:vMerge w:val="restart"/>
            <w:vAlign w:val="center"/>
          </w:tcPr>
          <w:p>
            <w:pPr>
              <w:widowControl/>
              <w:jc w:val="center"/>
              <w:rPr>
                <w:color w:val="auto"/>
                <w:kern w:val="0"/>
                <w:szCs w:val="21"/>
                <w:highlight w:val="none"/>
              </w:rPr>
            </w:pPr>
            <w:r>
              <w:rPr>
                <w:color w:val="auto"/>
                <w:kern w:val="0"/>
                <w:szCs w:val="21"/>
                <w:highlight w:val="none"/>
              </w:rPr>
              <w:t>低噪设备、基础减振</w:t>
            </w:r>
          </w:p>
        </w:tc>
        <w:tc>
          <w:tcPr>
            <w:tcW w:w="467" w:type="pct"/>
            <w:vMerge w:val="restart"/>
            <w:noWrap/>
            <w:vAlign w:val="center"/>
          </w:tcPr>
          <w:p>
            <w:pPr>
              <w:widowControl/>
              <w:jc w:val="center"/>
              <w:rPr>
                <w:color w:val="auto"/>
                <w:kern w:val="0"/>
                <w:szCs w:val="21"/>
                <w:highlight w:val="none"/>
              </w:rPr>
            </w:pPr>
            <w:r>
              <w:rPr>
                <w:color w:val="auto"/>
                <w:kern w:val="0"/>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color w:val="auto"/>
                <w:kern w:val="0"/>
                <w:szCs w:val="21"/>
                <w:highlight w:val="none"/>
              </w:rPr>
            </w:pPr>
            <w:r>
              <w:rPr>
                <w:rFonts w:hint="eastAsia"/>
                <w:color w:val="auto"/>
                <w:kern w:val="0"/>
                <w:szCs w:val="21"/>
                <w:highlight w:val="none"/>
              </w:rPr>
              <w:t>2</w:t>
            </w:r>
          </w:p>
        </w:tc>
        <w:tc>
          <w:tcPr>
            <w:tcW w:w="931" w:type="pct"/>
            <w:noWrap/>
            <w:vAlign w:val="center"/>
          </w:tcPr>
          <w:p>
            <w:pPr>
              <w:widowControl/>
              <w:jc w:val="center"/>
              <w:rPr>
                <w:color w:val="auto"/>
                <w:kern w:val="0"/>
                <w:szCs w:val="21"/>
                <w:highlight w:val="none"/>
              </w:rPr>
            </w:pPr>
            <w:r>
              <w:rPr>
                <w:rFonts w:hint="eastAsia"/>
                <w:color w:val="auto"/>
                <w:kern w:val="0"/>
                <w:szCs w:val="21"/>
                <w:highlight w:val="none"/>
              </w:rPr>
              <w:t>M8</w:t>
            </w:r>
            <w:r>
              <w:rPr>
                <w:color w:val="auto"/>
                <w:kern w:val="0"/>
                <w:szCs w:val="21"/>
                <w:highlight w:val="none"/>
              </w:rPr>
              <w:t>-2</w:t>
            </w:r>
            <w:r>
              <w:rPr>
                <w:rFonts w:hint="eastAsia"/>
                <w:color w:val="auto"/>
                <w:kern w:val="0"/>
                <w:szCs w:val="21"/>
                <w:highlight w:val="none"/>
              </w:rPr>
              <w:t>平面转弯带式运输机</w:t>
            </w:r>
          </w:p>
        </w:tc>
        <w:tc>
          <w:tcPr>
            <w:tcW w:w="538" w:type="pct"/>
            <w:noWrap/>
            <w:vAlign w:val="center"/>
          </w:tcPr>
          <w:p>
            <w:pPr>
              <w:widowControl/>
              <w:jc w:val="center"/>
              <w:rPr>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80</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66</w:t>
            </w:r>
          </w:p>
        </w:tc>
        <w:tc>
          <w:tcPr>
            <w:tcW w:w="330" w:type="pct"/>
            <w:vAlign w:val="center"/>
          </w:tcPr>
          <w:p>
            <w:pPr>
              <w:widowControl/>
              <w:jc w:val="center"/>
              <w:rPr>
                <w:color w:val="auto"/>
                <w:kern w:val="0"/>
                <w:szCs w:val="21"/>
                <w:highlight w:val="none"/>
              </w:rPr>
            </w:pPr>
            <w:r>
              <w:rPr>
                <w:rFonts w:hint="eastAsia"/>
                <w:color w:val="auto"/>
                <w:kern w:val="0"/>
                <w:szCs w:val="21"/>
                <w:highlight w:val="none"/>
              </w:rPr>
              <w:t>1</w:t>
            </w:r>
          </w:p>
        </w:tc>
        <w:tc>
          <w:tcPr>
            <w:tcW w:w="552" w:type="pct"/>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color w:val="auto"/>
                <w:kern w:val="0"/>
                <w:szCs w:val="21"/>
                <w:highlight w:val="none"/>
              </w:rPr>
            </w:pPr>
            <w:r>
              <w:rPr>
                <w:rFonts w:hint="eastAsia"/>
                <w:color w:val="auto"/>
                <w:kern w:val="0"/>
                <w:szCs w:val="21"/>
                <w:highlight w:val="none"/>
              </w:rPr>
              <w:t>3</w:t>
            </w:r>
          </w:p>
        </w:tc>
        <w:tc>
          <w:tcPr>
            <w:tcW w:w="931" w:type="pct"/>
            <w:noWrap/>
            <w:vAlign w:val="center"/>
          </w:tcPr>
          <w:p>
            <w:pPr>
              <w:widowControl/>
              <w:jc w:val="center"/>
              <w:rPr>
                <w:color w:val="auto"/>
                <w:kern w:val="0"/>
                <w:szCs w:val="21"/>
                <w:highlight w:val="none"/>
              </w:rPr>
            </w:pPr>
            <w:r>
              <w:rPr>
                <w:rFonts w:hint="eastAsia"/>
                <w:color w:val="auto"/>
                <w:kern w:val="0"/>
                <w:szCs w:val="21"/>
                <w:highlight w:val="none"/>
              </w:rPr>
              <w:t>进线管状带式输送机</w:t>
            </w:r>
          </w:p>
        </w:tc>
        <w:tc>
          <w:tcPr>
            <w:tcW w:w="538" w:type="pct"/>
            <w:noWrap/>
            <w:vAlign w:val="center"/>
          </w:tcPr>
          <w:p>
            <w:pPr>
              <w:widowControl/>
              <w:jc w:val="center"/>
              <w:rPr>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w:t>
            </w:r>
            <w:r>
              <w:rPr>
                <w:color w:val="auto"/>
                <w:kern w:val="0"/>
                <w:szCs w:val="21"/>
                <w:highlight w:val="none"/>
              </w:rPr>
              <w:t>434</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08</w:t>
            </w:r>
          </w:p>
        </w:tc>
        <w:tc>
          <w:tcPr>
            <w:tcW w:w="330" w:type="pct"/>
            <w:vAlign w:val="center"/>
          </w:tcPr>
          <w:p>
            <w:pPr>
              <w:widowControl/>
              <w:jc w:val="center"/>
              <w:rPr>
                <w:color w:val="auto"/>
                <w:kern w:val="0"/>
                <w:szCs w:val="21"/>
                <w:highlight w:val="none"/>
              </w:rPr>
            </w:pPr>
            <w:r>
              <w:rPr>
                <w:rFonts w:hint="eastAsia"/>
                <w:color w:val="auto"/>
                <w:kern w:val="0"/>
                <w:szCs w:val="21"/>
                <w:highlight w:val="none"/>
              </w:rPr>
              <w:t>1</w:t>
            </w:r>
          </w:p>
        </w:tc>
        <w:tc>
          <w:tcPr>
            <w:tcW w:w="552" w:type="pct"/>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color w:val="auto"/>
                <w:kern w:val="0"/>
                <w:szCs w:val="21"/>
                <w:highlight w:val="none"/>
              </w:rPr>
            </w:pPr>
            <w:r>
              <w:rPr>
                <w:rFonts w:hint="eastAsia"/>
                <w:color w:val="auto"/>
                <w:kern w:val="0"/>
                <w:szCs w:val="21"/>
                <w:highlight w:val="none"/>
              </w:rPr>
              <w:t>4</w:t>
            </w:r>
          </w:p>
        </w:tc>
        <w:tc>
          <w:tcPr>
            <w:tcW w:w="931" w:type="pct"/>
            <w:noWrap/>
            <w:vAlign w:val="center"/>
          </w:tcPr>
          <w:p>
            <w:pPr>
              <w:widowControl/>
              <w:jc w:val="center"/>
              <w:rPr>
                <w:color w:val="auto"/>
                <w:kern w:val="0"/>
                <w:szCs w:val="21"/>
                <w:highlight w:val="none"/>
              </w:rPr>
            </w:pPr>
            <w:r>
              <w:rPr>
                <w:rFonts w:hint="eastAsia"/>
                <w:color w:val="auto"/>
                <w:kern w:val="0"/>
                <w:szCs w:val="21"/>
                <w:highlight w:val="none"/>
              </w:rPr>
              <w:t>出线管状带式输送机</w:t>
            </w:r>
          </w:p>
        </w:tc>
        <w:tc>
          <w:tcPr>
            <w:tcW w:w="538" w:type="pct"/>
            <w:noWrap/>
            <w:vAlign w:val="center"/>
          </w:tcPr>
          <w:p>
            <w:pPr>
              <w:widowControl/>
              <w:jc w:val="center"/>
              <w:rPr>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80</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66</w:t>
            </w:r>
          </w:p>
        </w:tc>
        <w:tc>
          <w:tcPr>
            <w:tcW w:w="330" w:type="pct"/>
            <w:vAlign w:val="center"/>
          </w:tcPr>
          <w:p>
            <w:pPr>
              <w:widowControl/>
              <w:jc w:val="center"/>
              <w:rPr>
                <w:color w:val="auto"/>
                <w:kern w:val="0"/>
                <w:szCs w:val="21"/>
                <w:highlight w:val="none"/>
              </w:rPr>
            </w:pPr>
            <w:r>
              <w:rPr>
                <w:rFonts w:hint="eastAsia"/>
                <w:color w:val="auto"/>
                <w:kern w:val="0"/>
                <w:szCs w:val="21"/>
                <w:highlight w:val="none"/>
              </w:rPr>
              <w:t>1</w:t>
            </w:r>
          </w:p>
        </w:tc>
        <w:tc>
          <w:tcPr>
            <w:tcW w:w="552" w:type="pct"/>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color w:val="auto"/>
                <w:kern w:val="0"/>
                <w:szCs w:val="21"/>
                <w:highlight w:val="none"/>
              </w:rPr>
            </w:pPr>
            <w:r>
              <w:rPr>
                <w:rFonts w:hint="eastAsia"/>
                <w:color w:val="auto"/>
                <w:kern w:val="0"/>
                <w:szCs w:val="21"/>
                <w:highlight w:val="none"/>
              </w:rPr>
              <w:t>5</w:t>
            </w:r>
          </w:p>
        </w:tc>
        <w:tc>
          <w:tcPr>
            <w:tcW w:w="931" w:type="pct"/>
            <w:noWrap/>
            <w:vAlign w:val="center"/>
          </w:tcPr>
          <w:p>
            <w:pPr>
              <w:widowControl/>
              <w:jc w:val="center"/>
              <w:rPr>
                <w:rFonts w:hint="eastAsia" w:eastAsia="宋体"/>
                <w:color w:val="auto"/>
                <w:kern w:val="0"/>
                <w:szCs w:val="21"/>
                <w:highlight w:val="none"/>
                <w:lang w:val="en-US" w:eastAsia="zh-CN"/>
              </w:rPr>
            </w:pPr>
            <w:r>
              <w:rPr>
                <w:rFonts w:hint="eastAsia"/>
                <w:color w:val="auto"/>
                <w:kern w:val="0"/>
                <w:szCs w:val="21"/>
                <w:highlight w:val="none"/>
              </w:rPr>
              <w:t>除尘器</w:t>
            </w:r>
            <w:r>
              <w:rPr>
                <w:rFonts w:hint="eastAsia"/>
                <w:color w:val="auto"/>
                <w:kern w:val="0"/>
                <w:szCs w:val="21"/>
                <w:highlight w:val="none"/>
                <w:lang w:val="en-US" w:eastAsia="zh-CN"/>
              </w:rPr>
              <w:t>风机</w:t>
            </w:r>
          </w:p>
        </w:tc>
        <w:tc>
          <w:tcPr>
            <w:tcW w:w="538" w:type="pct"/>
            <w:noWrap/>
            <w:vAlign w:val="center"/>
          </w:tcPr>
          <w:p>
            <w:pPr>
              <w:widowControl/>
              <w:jc w:val="center"/>
              <w:rPr>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w:t>
            </w:r>
            <w:r>
              <w:rPr>
                <w:color w:val="auto"/>
                <w:kern w:val="0"/>
                <w:szCs w:val="21"/>
                <w:highlight w:val="none"/>
              </w:rPr>
              <w:t>420</w:t>
            </w:r>
          </w:p>
        </w:tc>
        <w:tc>
          <w:tcPr>
            <w:tcW w:w="247" w:type="pct"/>
            <w:noWrap/>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07</w:t>
            </w:r>
          </w:p>
        </w:tc>
        <w:tc>
          <w:tcPr>
            <w:tcW w:w="330"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552" w:type="pct"/>
          </w:tcPr>
          <w:p>
            <w:pPr>
              <w:widowControl/>
              <w:jc w:val="center"/>
              <w:rPr>
                <w:rFonts w:hint="eastAsia" w:eastAsia="宋体"/>
                <w:color w:val="auto"/>
                <w:kern w:val="0"/>
                <w:szCs w:val="21"/>
                <w:highlight w:val="none"/>
                <w:lang w:eastAsia="zh-CN"/>
              </w:rPr>
            </w:pPr>
            <w:r>
              <w:rPr>
                <w:rFonts w:hint="eastAsia"/>
                <w:color w:val="auto"/>
                <w:kern w:val="0"/>
                <w:szCs w:val="21"/>
                <w:highlight w:val="none"/>
              </w:rPr>
              <w:t>7</w:t>
            </w:r>
            <w:r>
              <w:rPr>
                <w:rFonts w:hint="eastAsia"/>
                <w:color w:val="auto"/>
                <w:kern w:val="0"/>
                <w:szCs w:val="21"/>
                <w:highlight w:val="none"/>
                <w:lang w:val="en-US" w:eastAsia="zh-CN"/>
              </w:rPr>
              <w:t>5</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rFonts w:hint="eastAsia"/>
                <w:color w:val="auto"/>
                <w:kern w:val="0"/>
                <w:szCs w:val="21"/>
                <w:highlight w:val="none"/>
              </w:rPr>
            </w:pPr>
            <w:r>
              <w:rPr>
                <w:rFonts w:hint="eastAsia"/>
                <w:color w:val="auto"/>
                <w:kern w:val="0"/>
                <w:szCs w:val="21"/>
                <w:highlight w:val="none"/>
              </w:rPr>
              <w:t>6</w:t>
            </w:r>
          </w:p>
        </w:tc>
        <w:tc>
          <w:tcPr>
            <w:tcW w:w="931" w:type="pct"/>
            <w:noWrap/>
          </w:tcPr>
          <w:p>
            <w:pPr>
              <w:widowControl/>
              <w:jc w:val="center"/>
              <w:rPr>
                <w:rFonts w:hint="eastAsia"/>
                <w:color w:val="auto"/>
                <w:kern w:val="0"/>
                <w:szCs w:val="21"/>
                <w:highlight w:val="none"/>
              </w:rPr>
            </w:pPr>
            <w:r>
              <w:rPr>
                <w:rFonts w:hint="eastAsia"/>
                <w:color w:val="auto"/>
                <w:kern w:val="0"/>
                <w:szCs w:val="21"/>
                <w:highlight w:val="none"/>
              </w:rPr>
              <w:t>除尘器</w:t>
            </w:r>
            <w:r>
              <w:rPr>
                <w:rFonts w:hint="eastAsia"/>
                <w:color w:val="auto"/>
                <w:kern w:val="0"/>
                <w:szCs w:val="21"/>
                <w:highlight w:val="none"/>
                <w:lang w:val="en-US" w:eastAsia="zh-CN"/>
              </w:rPr>
              <w:t>风机</w:t>
            </w:r>
          </w:p>
        </w:tc>
        <w:tc>
          <w:tcPr>
            <w:tcW w:w="538" w:type="pct"/>
            <w:noWrap/>
          </w:tcPr>
          <w:p>
            <w:pPr>
              <w:widowControl/>
              <w:jc w:val="center"/>
              <w:rPr>
                <w:rFonts w:hint="eastAsia"/>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4</w:t>
            </w:r>
            <w:r>
              <w:rPr>
                <w:color w:val="auto"/>
                <w:kern w:val="0"/>
                <w:szCs w:val="21"/>
                <w:highlight w:val="none"/>
              </w:rPr>
              <w:t>82</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5</w:t>
            </w:r>
            <w:r>
              <w:rPr>
                <w:color w:val="auto"/>
                <w:kern w:val="0"/>
                <w:szCs w:val="21"/>
                <w:highlight w:val="none"/>
              </w:rPr>
              <w:t>1</w:t>
            </w:r>
          </w:p>
        </w:tc>
        <w:tc>
          <w:tcPr>
            <w:tcW w:w="330" w:type="pct"/>
            <w:vAlign w:val="center"/>
          </w:tcPr>
          <w:p>
            <w:pPr>
              <w:widowControl/>
              <w:jc w:val="center"/>
              <w:rPr>
                <w:rFonts w:hint="eastAsia"/>
                <w:color w:val="auto"/>
                <w:kern w:val="0"/>
                <w:szCs w:val="21"/>
                <w:highlight w:val="none"/>
              </w:rPr>
            </w:pPr>
            <w:r>
              <w:rPr>
                <w:color w:val="auto"/>
                <w:kern w:val="0"/>
                <w:szCs w:val="21"/>
                <w:highlight w:val="none"/>
              </w:rPr>
              <w:t>5</w:t>
            </w:r>
          </w:p>
        </w:tc>
        <w:tc>
          <w:tcPr>
            <w:tcW w:w="552" w:type="pct"/>
          </w:tcPr>
          <w:p>
            <w:pPr>
              <w:widowControl/>
              <w:jc w:val="center"/>
              <w:rPr>
                <w:rFonts w:hint="eastAsia"/>
                <w:color w:val="auto"/>
                <w:kern w:val="0"/>
                <w:szCs w:val="21"/>
                <w:highlight w:val="none"/>
              </w:rPr>
            </w:pPr>
            <w:r>
              <w:rPr>
                <w:rFonts w:hint="eastAsia"/>
                <w:color w:val="auto"/>
                <w:kern w:val="0"/>
                <w:szCs w:val="21"/>
                <w:highlight w:val="none"/>
              </w:rPr>
              <w:t>7</w:t>
            </w:r>
            <w:r>
              <w:rPr>
                <w:rFonts w:hint="eastAsia"/>
                <w:color w:val="auto"/>
                <w:kern w:val="0"/>
                <w:szCs w:val="21"/>
                <w:highlight w:val="none"/>
                <w:lang w:val="en-US" w:eastAsia="zh-CN"/>
              </w:rPr>
              <w:t>5</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p>
        </w:tc>
        <w:tc>
          <w:tcPr>
            <w:tcW w:w="931" w:type="pct"/>
            <w:noWrap/>
          </w:tcPr>
          <w:p>
            <w:pPr>
              <w:widowControl/>
              <w:jc w:val="center"/>
              <w:rPr>
                <w:rFonts w:hint="eastAsia"/>
                <w:color w:val="auto"/>
                <w:kern w:val="0"/>
                <w:szCs w:val="21"/>
                <w:highlight w:val="none"/>
              </w:rPr>
            </w:pPr>
            <w:r>
              <w:rPr>
                <w:rFonts w:hint="eastAsia"/>
                <w:color w:val="auto"/>
                <w:kern w:val="0"/>
                <w:szCs w:val="21"/>
                <w:highlight w:val="none"/>
              </w:rPr>
              <w:t>除尘器</w:t>
            </w:r>
            <w:r>
              <w:rPr>
                <w:rFonts w:hint="eastAsia"/>
                <w:color w:val="auto"/>
                <w:kern w:val="0"/>
                <w:szCs w:val="21"/>
                <w:highlight w:val="none"/>
                <w:lang w:val="en-US" w:eastAsia="zh-CN"/>
              </w:rPr>
              <w:t>风机</w:t>
            </w:r>
          </w:p>
        </w:tc>
        <w:tc>
          <w:tcPr>
            <w:tcW w:w="538" w:type="pct"/>
            <w:noWrap/>
          </w:tcPr>
          <w:p>
            <w:pPr>
              <w:widowControl/>
              <w:jc w:val="center"/>
              <w:rPr>
                <w:rFonts w:hint="eastAsia"/>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3</w:t>
            </w:r>
            <w:r>
              <w:rPr>
                <w:color w:val="auto"/>
                <w:kern w:val="0"/>
                <w:szCs w:val="21"/>
                <w:highlight w:val="none"/>
              </w:rPr>
              <w:t>99</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1</w:t>
            </w:r>
            <w:r>
              <w:rPr>
                <w:color w:val="auto"/>
                <w:kern w:val="0"/>
                <w:szCs w:val="21"/>
                <w:highlight w:val="none"/>
              </w:rPr>
              <w:t>53</w:t>
            </w:r>
          </w:p>
        </w:tc>
        <w:tc>
          <w:tcPr>
            <w:tcW w:w="330" w:type="pct"/>
            <w:vAlign w:val="center"/>
          </w:tcPr>
          <w:p>
            <w:pPr>
              <w:widowControl/>
              <w:jc w:val="center"/>
              <w:rPr>
                <w:rFonts w:hint="eastAsia"/>
                <w:color w:val="auto"/>
                <w:kern w:val="0"/>
                <w:szCs w:val="21"/>
                <w:highlight w:val="none"/>
              </w:rPr>
            </w:pPr>
            <w:r>
              <w:rPr>
                <w:color w:val="auto"/>
                <w:kern w:val="0"/>
                <w:szCs w:val="21"/>
                <w:highlight w:val="none"/>
              </w:rPr>
              <w:t>5</w:t>
            </w:r>
          </w:p>
        </w:tc>
        <w:tc>
          <w:tcPr>
            <w:tcW w:w="552" w:type="pct"/>
          </w:tcPr>
          <w:p>
            <w:pPr>
              <w:widowControl/>
              <w:jc w:val="center"/>
              <w:rPr>
                <w:rFonts w:hint="eastAsia"/>
                <w:color w:val="auto"/>
                <w:kern w:val="0"/>
                <w:szCs w:val="21"/>
                <w:highlight w:val="none"/>
              </w:rPr>
            </w:pPr>
            <w:r>
              <w:rPr>
                <w:rFonts w:hint="eastAsia"/>
                <w:color w:val="auto"/>
                <w:kern w:val="0"/>
                <w:szCs w:val="21"/>
                <w:highlight w:val="none"/>
              </w:rPr>
              <w:t>7</w:t>
            </w:r>
            <w:r>
              <w:rPr>
                <w:rFonts w:hint="eastAsia"/>
                <w:color w:val="auto"/>
                <w:kern w:val="0"/>
                <w:szCs w:val="21"/>
                <w:highlight w:val="none"/>
                <w:lang w:val="en-US" w:eastAsia="zh-CN"/>
              </w:rPr>
              <w:t>5</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77" w:type="pct"/>
            <w:noWrap/>
            <w:vAlign w:val="center"/>
          </w:tcPr>
          <w:p>
            <w:pPr>
              <w:widowControl/>
              <w:jc w:val="center"/>
              <w:rPr>
                <w:rFonts w:hint="eastAsia"/>
                <w:color w:val="auto"/>
                <w:kern w:val="0"/>
                <w:szCs w:val="21"/>
                <w:highlight w:val="none"/>
              </w:rPr>
            </w:pPr>
            <w:r>
              <w:rPr>
                <w:rFonts w:hint="eastAsia"/>
                <w:color w:val="auto"/>
                <w:kern w:val="0"/>
                <w:szCs w:val="21"/>
                <w:highlight w:val="none"/>
              </w:rPr>
              <w:t>8</w:t>
            </w:r>
          </w:p>
        </w:tc>
        <w:tc>
          <w:tcPr>
            <w:tcW w:w="931" w:type="pct"/>
            <w:noWrap/>
          </w:tcPr>
          <w:p>
            <w:pPr>
              <w:widowControl/>
              <w:jc w:val="center"/>
              <w:rPr>
                <w:rFonts w:hint="eastAsia"/>
                <w:color w:val="auto"/>
                <w:kern w:val="0"/>
                <w:szCs w:val="21"/>
                <w:highlight w:val="none"/>
              </w:rPr>
            </w:pPr>
            <w:r>
              <w:rPr>
                <w:rFonts w:hint="eastAsia"/>
                <w:color w:val="auto"/>
                <w:kern w:val="0"/>
                <w:szCs w:val="21"/>
                <w:highlight w:val="none"/>
              </w:rPr>
              <w:t>除尘器</w:t>
            </w:r>
            <w:r>
              <w:rPr>
                <w:rFonts w:hint="eastAsia"/>
                <w:color w:val="auto"/>
                <w:kern w:val="0"/>
                <w:szCs w:val="21"/>
                <w:highlight w:val="none"/>
                <w:lang w:val="en-US" w:eastAsia="zh-CN"/>
              </w:rPr>
              <w:t>风机</w:t>
            </w:r>
          </w:p>
        </w:tc>
        <w:tc>
          <w:tcPr>
            <w:tcW w:w="538" w:type="pct"/>
            <w:noWrap/>
          </w:tcPr>
          <w:p>
            <w:pPr>
              <w:widowControl/>
              <w:jc w:val="center"/>
              <w:rPr>
                <w:rFonts w:hint="eastAsia"/>
                <w:color w:val="auto"/>
                <w:kern w:val="0"/>
                <w:szCs w:val="21"/>
                <w:highlight w:val="none"/>
              </w:rPr>
            </w:pPr>
            <w:r>
              <w:rPr>
                <w:rFonts w:hint="eastAsia"/>
                <w:color w:val="auto"/>
                <w:kern w:val="0"/>
                <w:szCs w:val="21"/>
                <w:highlight w:val="none"/>
              </w:rPr>
              <w:t>1</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2</w:t>
            </w:r>
            <w:r>
              <w:rPr>
                <w:color w:val="auto"/>
                <w:kern w:val="0"/>
                <w:szCs w:val="21"/>
                <w:highlight w:val="none"/>
              </w:rPr>
              <w:t>04</w:t>
            </w:r>
          </w:p>
        </w:tc>
        <w:tc>
          <w:tcPr>
            <w:tcW w:w="247" w:type="pct"/>
            <w:noWrap/>
            <w:vAlign w:val="center"/>
          </w:tcPr>
          <w:p>
            <w:pPr>
              <w:widowControl/>
              <w:jc w:val="center"/>
              <w:rPr>
                <w:rFonts w:hint="eastAsia"/>
                <w:color w:val="auto"/>
                <w:kern w:val="0"/>
                <w:szCs w:val="21"/>
                <w:highlight w:val="none"/>
              </w:rPr>
            </w:pPr>
            <w:r>
              <w:rPr>
                <w:rFonts w:hint="eastAsia"/>
                <w:color w:val="auto"/>
                <w:kern w:val="0"/>
                <w:szCs w:val="21"/>
                <w:highlight w:val="none"/>
              </w:rPr>
              <w:t>9</w:t>
            </w:r>
            <w:r>
              <w:rPr>
                <w:color w:val="auto"/>
                <w:kern w:val="0"/>
                <w:szCs w:val="21"/>
                <w:highlight w:val="none"/>
              </w:rPr>
              <w:t>6</w:t>
            </w:r>
          </w:p>
        </w:tc>
        <w:tc>
          <w:tcPr>
            <w:tcW w:w="330" w:type="pct"/>
            <w:vAlign w:val="center"/>
          </w:tcPr>
          <w:p>
            <w:pPr>
              <w:widowControl/>
              <w:jc w:val="center"/>
              <w:rPr>
                <w:rFonts w:hint="eastAsia"/>
                <w:color w:val="auto"/>
                <w:kern w:val="0"/>
                <w:szCs w:val="21"/>
                <w:highlight w:val="none"/>
              </w:rPr>
            </w:pPr>
            <w:r>
              <w:rPr>
                <w:color w:val="auto"/>
                <w:kern w:val="0"/>
                <w:szCs w:val="21"/>
                <w:highlight w:val="none"/>
              </w:rPr>
              <w:t>5</w:t>
            </w:r>
          </w:p>
        </w:tc>
        <w:tc>
          <w:tcPr>
            <w:tcW w:w="552" w:type="pct"/>
          </w:tcPr>
          <w:p>
            <w:pPr>
              <w:widowControl/>
              <w:jc w:val="center"/>
              <w:rPr>
                <w:rFonts w:hint="eastAsia"/>
                <w:color w:val="auto"/>
                <w:kern w:val="0"/>
                <w:szCs w:val="21"/>
                <w:highlight w:val="none"/>
              </w:rPr>
            </w:pPr>
            <w:r>
              <w:rPr>
                <w:rFonts w:hint="eastAsia"/>
                <w:color w:val="auto"/>
                <w:kern w:val="0"/>
                <w:szCs w:val="21"/>
                <w:highlight w:val="none"/>
              </w:rPr>
              <w:t>7</w:t>
            </w:r>
            <w:r>
              <w:rPr>
                <w:rFonts w:hint="eastAsia"/>
                <w:color w:val="auto"/>
                <w:kern w:val="0"/>
                <w:szCs w:val="21"/>
                <w:highlight w:val="none"/>
                <w:lang w:val="en-US" w:eastAsia="zh-CN"/>
              </w:rPr>
              <w:t>5</w:t>
            </w:r>
          </w:p>
        </w:tc>
        <w:tc>
          <w:tcPr>
            <w:tcW w:w="1411" w:type="pct"/>
            <w:vMerge w:val="continue"/>
          </w:tcPr>
          <w:p>
            <w:pPr>
              <w:widowControl/>
              <w:jc w:val="center"/>
              <w:rPr>
                <w:color w:val="auto"/>
                <w:kern w:val="0"/>
                <w:szCs w:val="21"/>
                <w:highlight w:val="none"/>
              </w:rPr>
            </w:pPr>
          </w:p>
        </w:tc>
        <w:tc>
          <w:tcPr>
            <w:tcW w:w="467" w:type="pct"/>
            <w:vMerge w:val="continue"/>
            <w:noWrap/>
          </w:tcPr>
          <w:p>
            <w:pPr>
              <w:widowControl/>
              <w:jc w:val="center"/>
              <w:rPr>
                <w:color w:val="auto"/>
                <w:kern w:val="0"/>
                <w:szCs w:val="21"/>
                <w:highlight w:val="none"/>
              </w:rPr>
            </w:pPr>
          </w:p>
        </w:tc>
      </w:tr>
    </w:tbl>
    <w:p>
      <w:pPr>
        <w:rPr>
          <w:color w:val="auto"/>
          <w:highlight w:val="none"/>
        </w:rPr>
      </w:pPr>
    </w:p>
    <w:p>
      <w:pPr>
        <w:adjustRightInd w:val="0"/>
        <w:jc w:val="center"/>
        <w:outlineLvl w:val="4"/>
        <w:rPr>
          <w:b/>
          <w:color w:val="auto"/>
          <w:kern w:val="0"/>
          <w:sz w:val="24"/>
          <w:szCs w:val="20"/>
          <w:highlight w:val="none"/>
        </w:rPr>
      </w:pPr>
      <w:r>
        <w:rPr>
          <w:rFonts w:hint="eastAsia"/>
          <w:b/>
          <w:color w:val="auto"/>
          <w:kern w:val="0"/>
          <w:sz w:val="24"/>
          <w:szCs w:val="20"/>
          <w:highlight w:val="none"/>
        </w:rPr>
        <w:t>表4.2.</w:t>
      </w:r>
      <w:r>
        <w:rPr>
          <w:rFonts w:hint="eastAsia"/>
          <w:b/>
          <w:color w:val="auto"/>
          <w:kern w:val="0"/>
          <w:sz w:val="24"/>
          <w:szCs w:val="20"/>
          <w:highlight w:val="none"/>
          <w:lang w:val="en-US" w:eastAsia="zh-CN"/>
        </w:rPr>
        <w:t>24</w:t>
      </w:r>
      <w:r>
        <w:rPr>
          <w:rFonts w:hint="eastAsia"/>
          <w:b/>
          <w:color w:val="auto"/>
          <w:kern w:val="0"/>
          <w:sz w:val="24"/>
          <w:szCs w:val="20"/>
          <w:highlight w:val="none"/>
        </w:rPr>
        <w:t xml:space="preserve">  本项目室内固定声源频发噪声源强表    单位：dB(A)</w:t>
      </w:r>
    </w:p>
    <w:tbl>
      <w:tblPr>
        <w:tblStyle w:val="20"/>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
        <w:gridCol w:w="731"/>
        <w:gridCol w:w="2879"/>
        <w:gridCol w:w="2046"/>
        <w:gridCol w:w="578"/>
        <w:gridCol w:w="751"/>
        <w:gridCol w:w="680"/>
        <w:gridCol w:w="574"/>
        <w:gridCol w:w="531"/>
        <w:gridCol w:w="427"/>
        <w:gridCol w:w="619"/>
        <w:gridCol w:w="754"/>
        <w:gridCol w:w="536"/>
        <w:gridCol w:w="1007"/>
        <w:gridCol w:w="754"/>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94" w:type="pct"/>
            <w:vMerge w:val="restart"/>
            <w:vAlign w:val="center"/>
          </w:tcPr>
          <w:p>
            <w:pPr>
              <w:widowControl/>
              <w:jc w:val="center"/>
              <w:rPr>
                <w:bCs/>
                <w:color w:val="auto"/>
                <w:kern w:val="0"/>
                <w:szCs w:val="21"/>
                <w:highlight w:val="none"/>
              </w:rPr>
            </w:pPr>
            <w:r>
              <w:rPr>
                <w:bCs/>
                <w:color w:val="auto"/>
                <w:kern w:val="0"/>
                <w:szCs w:val="21"/>
                <w:highlight w:val="none"/>
              </w:rPr>
              <w:t>序号</w:t>
            </w:r>
          </w:p>
        </w:tc>
        <w:tc>
          <w:tcPr>
            <w:tcW w:w="255" w:type="pct"/>
            <w:vMerge w:val="restart"/>
            <w:vAlign w:val="center"/>
          </w:tcPr>
          <w:p>
            <w:pPr>
              <w:widowControl/>
              <w:jc w:val="center"/>
              <w:rPr>
                <w:bCs/>
                <w:color w:val="auto"/>
                <w:kern w:val="0"/>
                <w:szCs w:val="21"/>
                <w:highlight w:val="none"/>
              </w:rPr>
            </w:pPr>
            <w:r>
              <w:rPr>
                <w:bCs/>
                <w:color w:val="auto"/>
                <w:kern w:val="0"/>
                <w:szCs w:val="21"/>
                <w:highlight w:val="none"/>
              </w:rPr>
              <w:t>建筑物名称</w:t>
            </w:r>
          </w:p>
        </w:tc>
        <w:tc>
          <w:tcPr>
            <w:tcW w:w="1005" w:type="pct"/>
            <w:vMerge w:val="restart"/>
            <w:vAlign w:val="center"/>
          </w:tcPr>
          <w:p>
            <w:pPr>
              <w:widowControl/>
              <w:jc w:val="center"/>
              <w:rPr>
                <w:bCs/>
                <w:color w:val="auto"/>
                <w:kern w:val="0"/>
                <w:szCs w:val="21"/>
                <w:highlight w:val="none"/>
              </w:rPr>
            </w:pPr>
            <w:r>
              <w:rPr>
                <w:bCs/>
                <w:color w:val="auto"/>
                <w:kern w:val="0"/>
                <w:szCs w:val="21"/>
                <w:highlight w:val="none"/>
              </w:rPr>
              <w:t>设备名称</w:t>
            </w:r>
          </w:p>
        </w:tc>
        <w:tc>
          <w:tcPr>
            <w:tcW w:w="714" w:type="pct"/>
            <w:vMerge w:val="restart"/>
            <w:vAlign w:val="center"/>
          </w:tcPr>
          <w:p>
            <w:pPr>
              <w:widowControl/>
              <w:jc w:val="center"/>
              <w:rPr>
                <w:bCs/>
                <w:color w:val="auto"/>
                <w:kern w:val="0"/>
                <w:szCs w:val="21"/>
                <w:highlight w:val="none"/>
              </w:rPr>
            </w:pPr>
            <w:r>
              <w:rPr>
                <w:bCs/>
                <w:color w:val="auto"/>
                <w:kern w:val="0"/>
                <w:szCs w:val="21"/>
                <w:highlight w:val="none"/>
              </w:rPr>
              <w:t>规格型号</w:t>
            </w:r>
          </w:p>
        </w:tc>
        <w:tc>
          <w:tcPr>
            <w:tcW w:w="201" w:type="pct"/>
            <w:vMerge w:val="restart"/>
            <w:vAlign w:val="center"/>
          </w:tcPr>
          <w:p>
            <w:pPr>
              <w:widowControl/>
              <w:jc w:val="center"/>
              <w:rPr>
                <w:bCs/>
                <w:color w:val="auto"/>
                <w:kern w:val="0"/>
                <w:szCs w:val="21"/>
                <w:highlight w:val="none"/>
              </w:rPr>
            </w:pPr>
            <w:r>
              <w:rPr>
                <w:bCs/>
                <w:color w:val="auto"/>
                <w:kern w:val="0"/>
                <w:szCs w:val="21"/>
                <w:highlight w:val="none"/>
              </w:rPr>
              <w:t>数量</w:t>
            </w:r>
          </w:p>
        </w:tc>
        <w:tc>
          <w:tcPr>
            <w:tcW w:w="262" w:type="pct"/>
            <w:vMerge w:val="restart"/>
            <w:vAlign w:val="center"/>
          </w:tcPr>
          <w:p>
            <w:pPr>
              <w:widowControl/>
              <w:jc w:val="center"/>
              <w:rPr>
                <w:bCs/>
                <w:color w:val="auto"/>
                <w:kern w:val="0"/>
                <w:szCs w:val="21"/>
                <w:highlight w:val="none"/>
              </w:rPr>
            </w:pPr>
            <w:r>
              <w:rPr>
                <w:bCs/>
                <w:color w:val="auto"/>
                <w:kern w:val="0"/>
                <w:szCs w:val="21"/>
                <w:highlight w:val="none"/>
              </w:rPr>
              <w:t>声功率级dB(A)</w:t>
            </w:r>
          </w:p>
        </w:tc>
        <w:tc>
          <w:tcPr>
            <w:tcW w:w="237" w:type="pct"/>
            <w:vMerge w:val="restart"/>
            <w:vAlign w:val="center"/>
          </w:tcPr>
          <w:p>
            <w:pPr>
              <w:widowControl/>
              <w:jc w:val="center"/>
              <w:rPr>
                <w:bCs/>
                <w:color w:val="auto"/>
                <w:kern w:val="0"/>
                <w:szCs w:val="21"/>
                <w:highlight w:val="none"/>
              </w:rPr>
            </w:pPr>
            <w:r>
              <w:rPr>
                <w:bCs/>
                <w:color w:val="auto"/>
                <w:kern w:val="0"/>
                <w:szCs w:val="21"/>
                <w:highlight w:val="none"/>
              </w:rPr>
              <w:t>声源控制措施</w:t>
            </w:r>
          </w:p>
        </w:tc>
        <w:tc>
          <w:tcPr>
            <w:tcW w:w="534" w:type="pct"/>
            <w:gridSpan w:val="3"/>
            <w:vAlign w:val="center"/>
          </w:tcPr>
          <w:p>
            <w:pPr>
              <w:widowControl/>
              <w:jc w:val="center"/>
              <w:rPr>
                <w:bCs/>
                <w:color w:val="auto"/>
                <w:kern w:val="0"/>
                <w:szCs w:val="21"/>
                <w:highlight w:val="none"/>
              </w:rPr>
            </w:pPr>
            <w:r>
              <w:rPr>
                <w:bCs/>
                <w:color w:val="auto"/>
                <w:kern w:val="0"/>
                <w:szCs w:val="21"/>
                <w:highlight w:val="none"/>
              </w:rPr>
              <w:t>空间相对位置</w:t>
            </w:r>
          </w:p>
        </w:tc>
        <w:tc>
          <w:tcPr>
            <w:tcW w:w="216" w:type="pct"/>
            <w:vMerge w:val="restart"/>
            <w:vAlign w:val="center"/>
          </w:tcPr>
          <w:p>
            <w:pPr>
              <w:widowControl/>
              <w:jc w:val="center"/>
              <w:rPr>
                <w:bCs/>
                <w:color w:val="auto"/>
                <w:kern w:val="0"/>
                <w:szCs w:val="21"/>
                <w:highlight w:val="none"/>
              </w:rPr>
            </w:pPr>
            <w:r>
              <w:rPr>
                <w:bCs/>
                <w:color w:val="auto"/>
                <w:kern w:val="0"/>
                <w:szCs w:val="21"/>
                <w:highlight w:val="none"/>
              </w:rPr>
              <w:t>距室内边界距离m</w:t>
            </w:r>
          </w:p>
        </w:tc>
        <w:tc>
          <w:tcPr>
            <w:tcW w:w="263" w:type="pct"/>
            <w:vMerge w:val="restart"/>
            <w:vAlign w:val="center"/>
          </w:tcPr>
          <w:p>
            <w:pPr>
              <w:widowControl/>
              <w:jc w:val="center"/>
              <w:rPr>
                <w:bCs/>
                <w:color w:val="auto"/>
                <w:kern w:val="0"/>
                <w:szCs w:val="21"/>
                <w:highlight w:val="none"/>
              </w:rPr>
            </w:pPr>
            <w:r>
              <w:rPr>
                <w:bCs/>
                <w:color w:val="auto"/>
                <w:kern w:val="0"/>
                <w:szCs w:val="21"/>
                <w:highlight w:val="none"/>
              </w:rPr>
              <w:t>室内边界声级dB(A)</w:t>
            </w:r>
          </w:p>
        </w:tc>
        <w:tc>
          <w:tcPr>
            <w:tcW w:w="187" w:type="pct"/>
            <w:vMerge w:val="restart"/>
            <w:vAlign w:val="center"/>
          </w:tcPr>
          <w:p>
            <w:pPr>
              <w:widowControl/>
              <w:jc w:val="center"/>
              <w:rPr>
                <w:bCs/>
                <w:color w:val="auto"/>
                <w:kern w:val="0"/>
                <w:szCs w:val="21"/>
                <w:highlight w:val="none"/>
              </w:rPr>
            </w:pPr>
            <w:r>
              <w:rPr>
                <w:bCs/>
                <w:color w:val="auto"/>
                <w:kern w:val="0"/>
                <w:szCs w:val="21"/>
                <w:highlight w:val="none"/>
              </w:rPr>
              <w:t>运行时段</w:t>
            </w:r>
          </w:p>
        </w:tc>
        <w:tc>
          <w:tcPr>
            <w:tcW w:w="351" w:type="pct"/>
            <w:vMerge w:val="restart"/>
            <w:vAlign w:val="center"/>
          </w:tcPr>
          <w:p>
            <w:pPr>
              <w:widowControl/>
              <w:jc w:val="center"/>
              <w:rPr>
                <w:bCs/>
                <w:color w:val="auto"/>
                <w:kern w:val="0"/>
                <w:szCs w:val="21"/>
                <w:highlight w:val="none"/>
              </w:rPr>
            </w:pPr>
            <w:r>
              <w:rPr>
                <w:bCs/>
                <w:color w:val="auto"/>
                <w:kern w:val="0"/>
                <w:szCs w:val="21"/>
                <w:highlight w:val="none"/>
              </w:rPr>
              <w:t>建筑物插入损失dB(A)</w:t>
            </w:r>
          </w:p>
        </w:tc>
        <w:tc>
          <w:tcPr>
            <w:tcW w:w="577" w:type="pct"/>
            <w:gridSpan w:val="2"/>
            <w:vAlign w:val="center"/>
          </w:tcPr>
          <w:p>
            <w:pPr>
              <w:widowControl/>
              <w:jc w:val="center"/>
              <w:rPr>
                <w:bCs/>
                <w:color w:val="auto"/>
                <w:kern w:val="0"/>
                <w:szCs w:val="21"/>
                <w:highlight w:val="none"/>
              </w:rPr>
            </w:pPr>
            <w:r>
              <w:rPr>
                <w:bCs/>
                <w:color w:val="auto"/>
                <w:kern w:val="0"/>
                <w:szCs w:val="21"/>
                <w:highlight w:val="none"/>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194" w:type="pct"/>
            <w:vMerge w:val="continue"/>
            <w:vAlign w:val="center"/>
          </w:tcPr>
          <w:p>
            <w:pPr>
              <w:widowControl/>
              <w:jc w:val="center"/>
              <w:rPr>
                <w:bCs/>
                <w:color w:val="auto"/>
                <w:kern w:val="0"/>
                <w:szCs w:val="21"/>
                <w:highlight w:val="none"/>
              </w:rPr>
            </w:pPr>
          </w:p>
        </w:tc>
        <w:tc>
          <w:tcPr>
            <w:tcW w:w="255" w:type="pct"/>
            <w:vMerge w:val="continue"/>
            <w:vAlign w:val="center"/>
          </w:tcPr>
          <w:p>
            <w:pPr>
              <w:widowControl/>
              <w:jc w:val="center"/>
              <w:rPr>
                <w:bCs/>
                <w:color w:val="auto"/>
                <w:kern w:val="0"/>
                <w:szCs w:val="21"/>
                <w:highlight w:val="none"/>
              </w:rPr>
            </w:pPr>
          </w:p>
        </w:tc>
        <w:tc>
          <w:tcPr>
            <w:tcW w:w="1005" w:type="pct"/>
            <w:vMerge w:val="continue"/>
            <w:vAlign w:val="center"/>
          </w:tcPr>
          <w:p>
            <w:pPr>
              <w:widowControl/>
              <w:jc w:val="center"/>
              <w:rPr>
                <w:bCs/>
                <w:color w:val="auto"/>
                <w:kern w:val="0"/>
                <w:szCs w:val="21"/>
                <w:highlight w:val="none"/>
              </w:rPr>
            </w:pPr>
          </w:p>
        </w:tc>
        <w:tc>
          <w:tcPr>
            <w:tcW w:w="714" w:type="pct"/>
            <w:vMerge w:val="continue"/>
            <w:vAlign w:val="center"/>
          </w:tcPr>
          <w:p>
            <w:pPr>
              <w:widowControl/>
              <w:jc w:val="center"/>
              <w:rPr>
                <w:bCs/>
                <w:color w:val="auto"/>
                <w:kern w:val="0"/>
                <w:szCs w:val="21"/>
                <w:highlight w:val="none"/>
              </w:rPr>
            </w:pPr>
          </w:p>
        </w:tc>
        <w:tc>
          <w:tcPr>
            <w:tcW w:w="201" w:type="pct"/>
            <w:vMerge w:val="continue"/>
            <w:vAlign w:val="center"/>
          </w:tcPr>
          <w:p>
            <w:pPr>
              <w:widowControl/>
              <w:jc w:val="center"/>
              <w:rPr>
                <w:bCs/>
                <w:color w:val="auto"/>
                <w:kern w:val="0"/>
                <w:szCs w:val="21"/>
                <w:highlight w:val="none"/>
              </w:rPr>
            </w:pPr>
          </w:p>
        </w:tc>
        <w:tc>
          <w:tcPr>
            <w:tcW w:w="262" w:type="pct"/>
            <w:vMerge w:val="continue"/>
            <w:vAlign w:val="center"/>
          </w:tcPr>
          <w:p>
            <w:pPr>
              <w:widowControl/>
              <w:jc w:val="center"/>
              <w:rPr>
                <w:bCs/>
                <w:color w:val="auto"/>
                <w:kern w:val="0"/>
                <w:szCs w:val="21"/>
                <w:highlight w:val="none"/>
              </w:rPr>
            </w:pPr>
          </w:p>
        </w:tc>
        <w:tc>
          <w:tcPr>
            <w:tcW w:w="237" w:type="pct"/>
            <w:vMerge w:val="continue"/>
            <w:vAlign w:val="center"/>
          </w:tcPr>
          <w:p>
            <w:pPr>
              <w:widowControl/>
              <w:jc w:val="center"/>
              <w:rPr>
                <w:bCs/>
                <w:color w:val="auto"/>
                <w:kern w:val="0"/>
                <w:szCs w:val="21"/>
                <w:highlight w:val="none"/>
              </w:rPr>
            </w:pPr>
          </w:p>
        </w:tc>
        <w:tc>
          <w:tcPr>
            <w:tcW w:w="200" w:type="pct"/>
            <w:vAlign w:val="center"/>
          </w:tcPr>
          <w:p>
            <w:pPr>
              <w:widowControl/>
              <w:jc w:val="center"/>
              <w:rPr>
                <w:bCs/>
                <w:color w:val="auto"/>
                <w:kern w:val="0"/>
                <w:szCs w:val="21"/>
                <w:highlight w:val="none"/>
              </w:rPr>
            </w:pPr>
            <w:r>
              <w:rPr>
                <w:bCs/>
                <w:color w:val="auto"/>
                <w:kern w:val="0"/>
                <w:szCs w:val="21"/>
                <w:highlight w:val="none"/>
              </w:rPr>
              <w:t>x</w:t>
            </w:r>
          </w:p>
        </w:tc>
        <w:tc>
          <w:tcPr>
            <w:tcW w:w="185" w:type="pct"/>
            <w:vAlign w:val="center"/>
          </w:tcPr>
          <w:p>
            <w:pPr>
              <w:widowControl/>
              <w:jc w:val="center"/>
              <w:rPr>
                <w:bCs/>
                <w:color w:val="auto"/>
                <w:kern w:val="0"/>
                <w:szCs w:val="21"/>
                <w:highlight w:val="none"/>
              </w:rPr>
            </w:pPr>
            <w:r>
              <w:rPr>
                <w:bCs/>
                <w:color w:val="auto"/>
                <w:kern w:val="0"/>
                <w:szCs w:val="21"/>
                <w:highlight w:val="none"/>
              </w:rPr>
              <w:t>y</w:t>
            </w:r>
          </w:p>
        </w:tc>
        <w:tc>
          <w:tcPr>
            <w:tcW w:w="149" w:type="pct"/>
            <w:vAlign w:val="center"/>
          </w:tcPr>
          <w:p>
            <w:pPr>
              <w:widowControl/>
              <w:jc w:val="center"/>
              <w:rPr>
                <w:bCs/>
                <w:color w:val="auto"/>
                <w:kern w:val="0"/>
                <w:szCs w:val="21"/>
                <w:highlight w:val="none"/>
              </w:rPr>
            </w:pPr>
            <w:r>
              <w:rPr>
                <w:bCs/>
                <w:color w:val="auto"/>
                <w:kern w:val="0"/>
                <w:szCs w:val="21"/>
                <w:highlight w:val="none"/>
              </w:rPr>
              <w:t>z</w:t>
            </w:r>
          </w:p>
        </w:tc>
        <w:tc>
          <w:tcPr>
            <w:tcW w:w="216" w:type="pct"/>
            <w:vMerge w:val="continue"/>
            <w:vAlign w:val="center"/>
          </w:tcPr>
          <w:p>
            <w:pPr>
              <w:widowControl/>
              <w:jc w:val="center"/>
              <w:rPr>
                <w:bCs/>
                <w:color w:val="auto"/>
                <w:kern w:val="0"/>
                <w:szCs w:val="21"/>
                <w:highlight w:val="none"/>
              </w:rPr>
            </w:pPr>
          </w:p>
        </w:tc>
        <w:tc>
          <w:tcPr>
            <w:tcW w:w="263" w:type="pct"/>
            <w:vMerge w:val="continue"/>
            <w:vAlign w:val="center"/>
          </w:tcPr>
          <w:p>
            <w:pPr>
              <w:widowControl/>
              <w:jc w:val="center"/>
              <w:rPr>
                <w:bCs/>
                <w:color w:val="auto"/>
                <w:kern w:val="0"/>
                <w:szCs w:val="21"/>
                <w:highlight w:val="none"/>
              </w:rPr>
            </w:pPr>
          </w:p>
        </w:tc>
        <w:tc>
          <w:tcPr>
            <w:tcW w:w="187" w:type="pct"/>
            <w:vMerge w:val="continue"/>
            <w:vAlign w:val="center"/>
          </w:tcPr>
          <w:p>
            <w:pPr>
              <w:widowControl/>
              <w:jc w:val="center"/>
              <w:rPr>
                <w:bCs/>
                <w:color w:val="auto"/>
                <w:kern w:val="0"/>
                <w:szCs w:val="21"/>
                <w:highlight w:val="none"/>
              </w:rPr>
            </w:pPr>
          </w:p>
        </w:tc>
        <w:tc>
          <w:tcPr>
            <w:tcW w:w="351" w:type="pct"/>
            <w:vMerge w:val="continue"/>
            <w:vAlign w:val="center"/>
          </w:tcPr>
          <w:p>
            <w:pPr>
              <w:widowControl/>
              <w:jc w:val="center"/>
              <w:rPr>
                <w:bCs/>
                <w:color w:val="auto"/>
                <w:kern w:val="0"/>
                <w:szCs w:val="21"/>
                <w:highlight w:val="none"/>
              </w:rPr>
            </w:pPr>
          </w:p>
        </w:tc>
        <w:tc>
          <w:tcPr>
            <w:tcW w:w="263" w:type="pct"/>
            <w:vAlign w:val="center"/>
          </w:tcPr>
          <w:p>
            <w:pPr>
              <w:widowControl/>
              <w:jc w:val="center"/>
              <w:rPr>
                <w:bCs/>
                <w:color w:val="auto"/>
                <w:kern w:val="0"/>
                <w:szCs w:val="21"/>
                <w:highlight w:val="none"/>
              </w:rPr>
            </w:pPr>
            <w:r>
              <w:rPr>
                <w:bCs/>
                <w:color w:val="auto"/>
                <w:kern w:val="0"/>
                <w:szCs w:val="21"/>
                <w:highlight w:val="none"/>
              </w:rPr>
              <w:t>声压级dB(A)</w:t>
            </w:r>
          </w:p>
        </w:tc>
        <w:tc>
          <w:tcPr>
            <w:tcW w:w="313" w:type="pct"/>
            <w:vAlign w:val="center"/>
          </w:tcPr>
          <w:p>
            <w:pPr>
              <w:widowControl/>
              <w:jc w:val="center"/>
              <w:rPr>
                <w:bCs/>
                <w:color w:val="auto"/>
                <w:kern w:val="0"/>
                <w:szCs w:val="21"/>
                <w:highlight w:val="none"/>
              </w:rPr>
            </w:pPr>
            <w:r>
              <w:rPr>
                <w:bCs/>
                <w:color w:val="auto"/>
                <w:kern w:val="0"/>
                <w:szCs w:val="21"/>
                <w:highlight w:val="none"/>
              </w:rPr>
              <w:t>建筑物外距离</w:t>
            </w:r>
            <w:r>
              <w:rPr>
                <w:rFonts w:hint="eastAsia"/>
                <w:bCs/>
                <w:color w:val="auto"/>
                <w:kern w:val="0"/>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color w:val="auto"/>
                <w:kern w:val="0"/>
                <w:szCs w:val="21"/>
                <w:highlight w:val="none"/>
              </w:rPr>
              <w:t>1</w:t>
            </w:r>
          </w:p>
        </w:tc>
        <w:tc>
          <w:tcPr>
            <w:tcW w:w="255" w:type="pct"/>
            <w:vMerge w:val="restart"/>
            <w:vAlign w:val="center"/>
          </w:tcPr>
          <w:p>
            <w:pPr>
              <w:widowControl/>
              <w:jc w:val="center"/>
              <w:rPr>
                <w:color w:val="auto"/>
                <w:kern w:val="0"/>
                <w:szCs w:val="21"/>
                <w:highlight w:val="none"/>
              </w:rPr>
            </w:pPr>
            <w:r>
              <w:rPr>
                <w:rFonts w:hint="eastAsia"/>
                <w:color w:val="auto"/>
                <w:kern w:val="0"/>
                <w:szCs w:val="21"/>
                <w:highlight w:val="none"/>
              </w:rPr>
              <w:t>卸矿站</w:t>
            </w:r>
          </w:p>
        </w:tc>
        <w:tc>
          <w:tcPr>
            <w:tcW w:w="1005" w:type="pct"/>
            <w:noWrap/>
            <w:vAlign w:val="center"/>
          </w:tcPr>
          <w:p>
            <w:pPr>
              <w:widowControl/>
              <w:jc w:val="center"/>
              <w:rPr>
                <w:rFonts w:hint="eastAsia"/>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bookmarkStart w:id="23" w:name="OLE_LINK38"/>
            <w:r>
              <w:rPr>
                <w:color w:val="auto"/>
                <w:szCs w:val="21"/>
                <w:highlight w:val="none"/>
              </w:rPr>
              <w:t>70</w:t>
            </w:r>
            <w:bookmarkEnd w:id="23"/>
          </w:p>
        </w:tc>
        <w:tc>
          <w:tcPr>
            <w:tcW w:w="237" w:type="pct"/>
            <w:vMerge w:val="restart"/>
            <w:vAlign w:val="center"/>
          </w:tcPr>
          <w:p>
            <w:pPr>
              <w:widowControl/>
              <w:jc w:val="center"/>
              <w:rPr>
                <w:rFonts w:hint="eastAsia"/>
                <w:color w:val="auto"/>
                <w:kern w:val="0"/>
                <w:szCs w:val="21"/>
                <w:highlight w:val="none"/>
              </w:rPr>
            </w:pPr>
            <w:r>
              <w:rPr>
                <w:color w:val="auto"/>
                <w:kern w:val="0"/>
                <w:szCs w:val="21"/>
                <w:highlight w:val="none"/>
              </w:rPr>
              <w:t>低噪设备、基础减振</w:t>
            </w: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08</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89</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1</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bookmarkStart w:id="24" w:name="OLE_LINK43"/>
            <w:r>
              <w:rPr>
                <w:color w:val="auto"/>
                <w:kern w:val="0"/>
                <w:szCs w:val="21"/>
                <w:highlight w:val="none"/>
              </w:rPr>
              <w:t>20</w:t>
            </w:r>
            <w:bookmarkEnd w:id="24"/>
          </w:p>
        </w:tc>
        <w:tc>
          <w:tcPr>
            <w:tcW w:w="263" w:type="pct"/>
            <w:vMerge w:val="restart"/>
            <w:vAlign w:val="center"/>
          </w:tcPr>
          <w:p>
            <w:pPr>
              <w:jc w:val="center"/>
              <w:rPr>
                <w:color w:val="auto"/>
                <w:kern w:val="0"/>
                <w:szCs w:val="21"/>
                <w:highlight w:val="none"/>
              </w:rPr>
            </w:pPr>
            <w:r>
              <w:rPr>
                <w:rFonts w:eastAsia="等线"/>
                <w:color w:val="auto"/>
                <w:szCs w:val="21"/>
                <w:highlight w:val="none"/>
              </w:rPr>
              <w:t>43.4</w:t>
            </w:r>
          </w:p>
        </w:tc>
        <w:tc>
          <w:tcPr>
            <w:tcW w:w="313" w:type="pct"/>
            <w:vMerge w:val="restart"/>
            <w:vAlign w:val="center"/>
          </w:tcPr>
          <w:p>
            <w:pPr>
              <w:jc w:val="center"/>
              <w:rPr>
                <w:color w:val="auto"/>
                <w:kern w:val="0"/>
                <w:szCs w:val="21"/>
                <w:highlight w:val="none"/>
              </w:rPr>
            </w:pPr>
            <w:r>
              <w:rPr>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rFonts w:hint="eastAsia"/>
                <w:color w:val="auto"/>
                <w:kern w:val="0"/>
                <w:szCs w:val="21"/>
                <w:highlight w:val="none"/>
              </w:rPr>
              <w:t>2</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rFonts w:hint="eastAsia"/>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szCs w:val="21"/>
                <w:highlight w:val="none"/>
              </w:rPr>
              <w:t>80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59</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03</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5</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58.0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color w:val="auto"/>
                <w:kern w:val="0"/>
                <w:szCs w:val="21"/>
                <w:highlight w:val="none"/>
              </w:rPr>
              <w:t>3</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02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59</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2</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56.0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color w:val="auto"/>
                <w:kern w:val="0"/>
                <w:szCs w:val="21"/>
                <w:highlight w:val="none"/>
              </w:rPr>
              <w:t>4</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02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53</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2</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56.0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color w:val="auto"/>
                <w:kern w:val="0"/>
                <w:szCs w:val="21"/>
                <w:highlight w:val="none"/>
              </w:rPr>
              <w:t>5</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10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27</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rFonts w:hint="eastAsia"/>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48.0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jc w:val="center"/>
              <w:rPr>
                <w:rFonts w:eastAsia="等线"/>
                <w:color w:val="auto"/>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rFonts w:hint="eastAsia"/>
                <w:color w:val="auto"/>
                <w:kern w:val="0"/>
                <w:szCs w:val="21"/>
                <w:highlight w:val="none"/>
              </w:rPr>
              <w:t>6</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25</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27</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5</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48.0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color w:val="auto"/>
                <w:kern w:val="0"/>
                <w:szCs w:val="21"/>
                <w:highlight w:val="none"/>
              </w:rPr>
            </w:pPr>
            <w:r>
              <w:rPr>
                <w:rFonts w:hint="eastAsia"/>
                <w:color w:val="auto"/>
                <w:kern w:val="0"/>
                <w:szCs w:val="21"/>
                <w:highlight w:val="none"/>
              </w:rPr>
              <w:t>7</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rFonts w:hint="eastAsia"/>
                <w:color w:val="auto"/>
                <w:kern w:val="0"/>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60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27</w:t>
            </w:r>
          </w:p>
        </w:tc>
        <w:tc>
          <w:tcPr>
            <w:tcW w:w="149" w:type="pct"/>
            <w:vAlign w:val="center"/>
          </w:tcPr>
          <w:p>
            <w:pPr>
              <w:widowControl/>
              <w:jc w:val="center"/>
              <w:rPr>
                <w:rFonts w:hint="eastAsia"/>
                <w:color w:val="auto"/>
                <w:kern w:val="0"/>
                <w:szCs w:val="21"/>
                <w:highlight w:val="none"/>
              </w:rPr>
            </w:pPr>
            <w:r>
              <w:rPr>
                <w:color w:val="auto"/>
                <w:kern w:val="0"/>
                <w:szCs w:val="21"/>
                <w:highlight w:val="none"/>
              </w:rPr>
              <w:t>5</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2</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56.0 </w:t>
            </w:r>
          </w:p>
        </w:tc>
        <w:tc>
          <w:tcPr>
            <w:tcW w:w="187" w:type="pct"/>
            <w:vAlign w:val="center"/>
          </w:tcPr>
          <w:p>
            <w:pPr>
              <w:widowControl/>
              <w:jc w:val="center"/>
              <w:rPr>
                <w:rFonts w:hint="eastAsia"/>
                <w:color w:val="auto"/>
                <w:kern w:val="0"/>
                <w:szCs w:val="21"/>
                <w:highlight w:val="none"/>
              </w:rPr>
            </w:pPr>
            <w:r>
              <w:rPr>
                <w:rFonts w:hint="eastAsia"/>
                <w:color w:val="auto"/>
                <w:kern w:val="0"/>
                <w:szCs w:val="21"/>
                <w:highlight w:val="none"/>
              </w:rPr>
              <w:t>间歇</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jc w:val="center"/>
              <w:rPr>
                <w:rFonts w:eastAsia="等线"/>
                <w:color w:val="auto"/>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color w:val="auto"/>
                <w:kern w:val="0"/>
                <w:szCs w:val="21"/>
                <w:highlight w:val="none"/>
              </w:rPr>
            </w:pPr>
            <w:r>
              <w:rPr>
                <w:rFonts w:hint="eastAsia"/>
                <w:color w:val="auto"/>
                <w:kern w:val="0"/>
                <w:szCs w:val="21"/>
                <w:highlight w:val="none"/>
              </w:rPr>
              <w:t>8</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rFonts w:hint="eastAsia"/>
                <w:color w:val="auto"/>
                <w:kern w:val="0"/>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81</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81</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53.0 </w:t>
            </w:r>
          </w:p>
        </w:tc>
        <w:tc>
          <w:tcPr>
            <w:tcW w:w="187" w:type="pct"/>
            <w:vAlign w:val="center"/>
          </w:tcPr>
          <w:p>
            <w:pPr>
              <w:widowControl/>
              <w:jc w:val="center"/>
              <w:rPr>
                <w:color w:val="auto"/>
                <w:kern w:val="0"/>
                <w:szCs w:val="21"/>
                <w:highlight w:val="none"/>
              </w:rPr>
            </w:pPr>
            <w:r>
              <w:rPr>
                <w:rFonts w:hint="eastAsia"/>
                <w:color w:val="auto"/>
                <w:kern w:val="0"/>
                <w:szCs w:val="21"/>
                <w:highlight w:val="none"/>
              </w:rPr>
              <w:t>间歇</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jc w:val="center"/>
              <w:rPr>
                <w:rFonts w:eastAsia="等线"/>
                <w:color w:val="auto"/>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color w:val="auto"/>
                <w:kern w:val="0"/>
                <w:szCs w:val="21"/>
                <w:highlight w:val="none"/>
              </w:rPr>
              <w:t>9</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89</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85</w:t>
            </w:r>
          </w:p>
        </w:tc>
        <w:tc>
          <w:tcPr>
            <w:tcW w:w="149" w:type="pct"/>
            <w:vAlign w:val="center"/>
          </w:tcPr>
          <w:p>
            <w:pPr>
              <w:widowControl/>
              <w:jc w:val="center"/>
              <w:rPr>
                <w:color w:val="auto"/>
                <w:kern w:val="0"/>
                <w:szCs w:val="21"/>
                <w:highlight w:val="none"/>
              </w:rPr>
            </w:pPr>
            <w:r>
              <w:rPr>
                <w:color w:val="auto"/>
                <w:kern w:val="0"/>
                <w:szCs w:val="21"/>
                <w:highlight w:val="none"/>
              </w:rPr>
              <w:t>1</w:t>
            </w:r>
          </w:p>
        </w:tc>
        <w:tc>
          <w:tcPr>
            <w:tcW w:w="216" w:type="pct"/>
            <w:vAlign w:val="center"/>
          </w:tcPr>
          <w:p>
            <w:pPr>
              <w:widowControl/>
              <w:jc w:val="center"/>
              <w:rPr>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color w:val="auto"/>
                <w:kern w:val="0"/>
                <w:szCs w:val="21"/>
                <w:highlight w:val="none"/>
              </w:rPr>
            </w:pPr>
            <w:r>
              <w:rPr>
                <w:rFonts w:hint="eastAsia"/>
                <w:color w:val="auto"/>
                <w:kern w:val="0"/>
                <w:szCs w:val="21"/>
                <w:highlight w:val="none"/>
              </w:rPr>
              <w:t>1</w:t>
            </w:r>
            <w:r>
              <w:rPr>
                <w:color w:val="auto"/>
                <w:kern w:val="0"/>
                <w:szCs w:val="21"/>
                <w:highlight w:val="none"/>
              </w:rPr>
              <w:t>0</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90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85</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jc w:val="center"/>
              <w:rPr>
                <w:rFonts w:eastAsia="等线"/>
                <w:color w:val="auto"/>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1</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color w:val="auto"/>
                <w:kern w:val="0"/>
                <w:szCs w:val="21"/>
                <w:highlight w:val="none"/>
              </w:rPr>
              <w:t>390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79</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2</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rFonts w:hint="eastAsia"/>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kern w:val="0"/>
                <w:szCs w:val="21"/>
                <w:highlight w:val="none"/>
              </w:rPr>
              <w:t>70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62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28</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3</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52.5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rPr>
              <w:t>1</w:t>
            </w:r>
            <w:r>
              <w:rPr>
                <w:rFonts w:hint="eastAsia"/>
                <w:color w:val="auto"/>
                <w:kern w:val="0"/>
                <w:szCs w:val="21"/>
                <w:highlight w:val="none"/>
                <w:lang w:val="en-US" w:eastAsia="zh-CN"/>
              </w:rPr>
              <w:t>3</w:t>
            </w:r>
          </w:p>
        </w:tc>
        <w:tc>
          <w:tcPr>
            <w:tcW w:w="255" w:type="pct"/>
            <w:vMerge w:val="restart"/>
            <w:vAlign w:val="center"/>
          </w:tcPr>
          <w:p>
            <w:pPr>
              <w:widowControl/>
              <w:jc w:val="center"/>
              <w:rPr>
                <w:color w:val="auto"/>
                <w:kern w:val="0"/>
                <w:szCs w:val="21"/>
                <w:highlight w:val="none"/>
              </w:rPr>
            </w:pPr>
            <w:r>
              <w:rPr>
                <w:rFonts w:hint="eastAsia"/>
                <w:color w:val="auto"/>
                <w:kern w:val="0"/>
                <w:szCs w:val="21"/>
                <w:highlight w:val="none"/>
              </w:rPr>
              <w:t>混矿车间</w:t>
            </w: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szCs w:val="21"/>
                <w:highlight w:val="none"/>
              </w:rPr>
              <w:t>70</w:t>
            </w:r>
          </w:p>
        </w:tc>
        <w:tc>
          <w:tcPr>
            <w:tcW w:w="237" w:type="pct"/>
            <w:vMerge w:val="restart"/>
            <w:vAlign w:val="center"/>
          </w:tcPr>
          <w:p>
            <w:pPr>
              <w:widowControl/>
              <w:jc w:val="center"/>
              <w:rPr>
                <w:rFonts w:hint="eastAsia"/>
                <w:color w:val="auto"/>
                <w:kern w:val="0"/>
                <w:szCs w:val="21"/>
                <w:highlight w:val="none"/>
              </w:rPr>
            </w:pPr>
            <w:r>
              <w:rPr>
                <w:color w:val="auto"/>
                <w:kern w:val="0"/>
                <w:szCs w:val="21"/>
                <w:highlight w:val="none"/>
              </w:rPr>
              <w:t>低噪设备、基础减振</w:t>
            </w: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26</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07</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color w:val="auto"/>
                <w:kern w:val="0"/>
                <w:szCs w:val="21"/>
                <w:highlight w:val="none"/>
              </w:rPr>
            </w:pPr>
            <w:r>
              <w:rPr>
                <w:color w:val="auto"/>
                <w:kern w:val="0"/>
                <w:szCs w:val="21"/>
                <w:highlight w:val="none"/>
              </w:rPr>
              <w:t>2</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56.0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restart"/>
            <w:vAlign w:val="center"/>
          </w:tcPr>
          <w:p>
            <w:pPr>
              <w:jc w:val="center"/>
              <w:rPr>
                <w:color w:val="auto"/>
                <w:kern w:val="0"/>
                <w:szCs w:val="21"/>
                <w:highlight w:val="none"/>
              </w:rPr>
            </w:pPr>
            <w:r>
              <w:rPr>
                <w:rFonts w:hint="eastAsia"/>
                <w:color w:val="auto"/>
                <w:kern w:val="0"/>
                <w:szCs w:val="21"/>
                <w:highlight w:val="none"/>
              </w:rPr>
              <w:t>4</w:t>
            </w:r>
            <w:r>
              <w:rPr>
                <w:color w:val="auto"/>
                <w:kern w:val="0"/>
                <w:szCs w:val="21"/>
                <w:highlight w:val="none"/>
              </w:rPr>
              <w:t>5.2</w:t>
            </w:r>
          </w:p>
        </w:tc>
        <w:tc>
          <w:tcPr>
            <w:tcW w:w="313" w:type="pct"/>
            <w:vMerge w:val="restart"/>
            <w:vAlign w:val="center"/>
          </w:tcPr>
          <w:p>
            <w:pPr>
              <w:jc w:val="center"/>
              <w:rPr>
                <w:color w:val="auto"/>
                <w:kern w:val="0"/>
                <w:szCs w:val="21"/>
                <w:highlight w:val="none"/>
              </w:rPr>
            </w:pPr>
            <w:r>
              <w:rPr>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rPr>
              <w:t>1</w:t>
            </w:r>
            <w:r>
              <w:rPr>
                <w:rFonts w:hint="eastAsia"/>
                <w:color w:val="auto"/>
                <w:kern w:val="0"/>
                <w:szCs w:val="21"/>
                <w:highlight w:val="none"/>
                <w:lang w:val="en-US" w:eastAsia="zh-CN"/>
              </w:rPr>
              <w:t>4</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szCs w:val="21"/>
                <w:highlight w:val="none"/>
              </w:rPr>
              <w:t>70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18</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05</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color w:val="auto"/>
                <w:kern w:val="0"/>
                <w:szCs w:val="21"/>
                <w:highlight w:val="none"/>
              </w:rPr>
            </w:pPr>
            <w:r>
              <w:rPr>
                <w:color w:val="auto"/>
                <w:kern w:val="0"/>
                <w:szCs w:val="21"/>
                <w:highlight w:val="none"/>
              </w:rPr>
              <w:t>1</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rPr>
              <w:t>1</w:t>
            </w:r>
            <w:r>
              <w:rPr>
                <w:rFonts w:hint="eastAsia"/>
                <w:color w:val="auto"/>
                <w:kern w:val="0"/>
                <w:szCs w:val="21"/>
                <w:highlight w:val="none"/>
                <w:lang w:val="en-US" w:eastAsia="zh-CN"/>
              </w:rPr>
              <w:t>5</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szCs w:val="21"/>
                <w:highlight w:val="none"/>
              </w:rPr>
              <w:t>70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15</w:t>
            </w:r>
          </w:p>
        </w:tc>
        <w:tc>
          <w:tcPr>
            <w:tcW w:w="185" w:type="pct"/>
            <w:vAlign w:val="center"/>
          </w:tcPr>
          <w:p>
            <w:pPr>
              <w:widowControl/>
              <w:jc w:val="center"/>
              <w:rPr>
                <w:color w:val="auto"/>
                <w:kern w:val="0"/>
                <w:szCs w:val="21"/>
                <w:highlight w:val="none"/>
              </w:rPr>
            </w:pPr>
            <w:r>
              <w:rPr>
                <w:rFonts w:hint="eastAsia"/>
                <w:color w:val="auto"/>
                <w:kern w:val="0"/>
                <w:szCs w:val="21"/>
                <w:highlight w:val="none"/>
              </w:rPr>
              <w:t>9</w:t>
            </w:r>
            <w:r>
              <w:rPr>
                <w:color w:val="auto"/>
                <w:kern w:val="0"/>
                <w:szCs w:val="21"/>
                <w:highlight w:val="none"/>
              </w:rPr>
              <w:t>5</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color w:val="auto"/>
                <w:kern w:val="0"/>
                <w:szCs w:val="21"/>
                <w:highlight w:val="none"/>
              </w:rPr>
            </w:pPr>
            <w:r>
              <w:rPr>
                <w:color w:val="auto"/>
                <w:kern w:val="0"/>
                <w:szCs w:val="21"/>
                <w:highlight w:val="none"/>
              </w:rPr>
              <w:t>5</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48.0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eastAsia" w:eastAsia="宋体"/>
                <w:color w:val="auto"/>
                <w:kern w:val="0"/>
                <w:szCs w:val="21"/>
                <w:highlight w:val="none"/>
                <w:lang w:eastAsia="zh-CN"/>
              </w:rPr>
            </w:pPr>
            <w:r>
              <w:rPr>
                <w:rFonts w:hint="eastAsia"/>
                <w:color w:val="auto"/>
                <w:kern w:val="0"/>
                <w:szCs w:val="21"/>
                <w:highlight w:val="none"/>
              </w:rPr>
              <w:t>1</w:t>
            </w:r>
            <w:r>
              <w:rPr>
                <w:rFonts w:hint="eastAsia"/>
                <w:color w:val="auto"/>
                <w:kern w:val="0"/>
                <w:szCs w:val="21"/>
                <w:highlight w:val="none"/>
                <w:lang w:val="en-US" w:eastAsia="zh-CN"/>
              </w:rPr>
              <w:t>6</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11</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03</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color w:val="auto"/>
                <w:kern w:val="0"/>
                <w:szCs w:val="21"/>
                <w:highlight w:val="none"/>
              </w:rPr>
            </w:pPr>
            <w:r>
              <w:rPr>
                <w:color w:val="auto"/>
                <w:kern w:val="0"/>
                <w:szCs w:val="21"/>
                <w:highlight w:val="none"/>
              </w:rPr>
              <w:t>3</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52.5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vAlign w:val="center"/>
          </w:tcPr>
          <w:p>
            <w:pPr>
              <w:widowControl/>
              <w:jc w:val="center"/>
              <w:rPr>
                <w:rFonts w:hint="default" w:eastAsia="宋体"/>
                <w:color w:val="auto"/>
                <w:kern w:val="0"/>
                <w:szCs w:val="21"/>
                <w:highlight w:val="none"/>
                <w:lang w:val="en-US" w:eastAsia="zh-CN"/>
              </w:rPr>
            </w:pPr>
            <w:r>
              <w:rPr>
                <w:rFonts w:hint="eastAsia"/>
                <w:color w:val="auto"/>
                <w:kern w:val="0"/>
                <w:szCs w:val="21"/>
                <w:highlight w:val="none"/>
                <w:lang w:val="en-US" w:eastAsia="zh-CN"/>
              </w:rPr>
              <w:t>17</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60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5</w:t>
            </w:r>
            <w:r>
              <w:rPr>
                <w:color w:val="auto"/>
                <w:kern w:val="0"/>
                <w:szCs w:val="21"/>
                <w:highlight w:val="none"/>
              </w:rPr>
              <w:t>6</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8</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43.9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1</w:t>
            </w:r>
            <w:r>
              <w:rPr>
                <w:color w:val="auto"/>
                <w:kern w:val="0"/>
                <w:szCs w:val="21"/>
                <w:highlight w:val="none"/>
              </w:rPr>
              <w:t>8</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kern w:val="0"/>
                <w:szCs w:val="21"/>
                <w:highlight w:val="none"/>
              </w:rPr>
              <w:t>70</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32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5</w:t>
            </w:r>
            <w:r>
              <w:rPr>
                <w:color w:val="auto"/>
                <w:kern w:val="0"/>
                <w:szCs w:val="21"/>
                <w:highlight w:val="none"/>
              </w:rPr>
              <w:t>4</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color w:val="auto"/>
                <w:kern w:val="0"/>
                <w:szCs w:val="21"/>
                <w:highlight w:val="none"/>
              </w:rPr>
            </w:pPr>
            <w:r>
              <w:rPr>
                <w:color w:val="auto"/>
                <w:kern w:val="0"/>
                <w:szCs w:val="21"/>
                <w:highlight w:val="none"/>
              </w:rPr>
              <w:t>8</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43.9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1</w:t>
            </w:r>
            <w:r>
              <w:rPr>
                <w:color w:val="auto"/>
                <w:kern w:val="0"/>
                <w:szCs w:val="21"/>
                <w:highlight w:val="none"/>
              </w:rPr>
              <w:t>9</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kern w:val="0"/>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color w:val="auto"/>
                <w:kern w:val="0"/>
                <w:szCs w:val="21"/>
                <w:highlight w:val="none"/>
              </w:rPr>
            </w:pPr>
          </w:p>
        </w:tc>
        <w:tc>
          <w:tcPr>
            <w:tcW w:w="262" w:type="pct"/>
            <w:noWrap/>
            <w:vAlign w:val="center"/>
          </w:tcPr>
          <w:p>
            <w:pPr>
              <w:widowControl/>
              <w:jc w:val="center"/>
              <w:rPr>
                <w:color w:val="auto"/>
                <w:kern w:val="0"/>
                <w:szCs w:val="21"/>
                <w:highlight w:val="none"/>
              </w:rPr>
            </w:pPr>
            <w:r>
              <w:rPr>
                <w:color w:val="auto"/>
                <w:kern w:val="0"/>
                <w:szCs w:val="21"/>
                <w:highlight w:val="none"/>
              </w:rPr>
              <w:t>70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60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6</w:t>
            </w:r>
          </w:p>
        </w:tc>
        <w:tc>
          <w:tcPr>
            <w:tcW w:w="149" w:type="pct"/>
            <w:vAlign w:val="center"/>
          </w:tcPr>
          <w:p>
            <w:pPr>
              <w:widowControl/>
              <w:jc w:val="center"/>
              <w:rPr>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color w:val="auto"/>
                <w:kern w:val="0"/>
                <w:szCs w:val="21"/>
                <w:highlight w:val="none"/>
              </w:rPr>
            </w:pPr>
            <w:r>
              <w:rPr>
                <w:color w:val="auto"/>
                <w:kern w:val="0"/>
                <w:szCs w:val="21"/>
                <w:highlight w:val="none"/>
              </w:rPr>
              <w:t>1</w:t>
            </w:r>
          </w:p>
        </w:tc>
        <w:tc>
          <w:tcPr>
            <w:tcW w:w="263" w:type="pct"/>
            <w:vAlign w:val="center"/>
          </w:tcPr>
          <w:p>
            <w:pPr>
              <w:widowControl/>
              <w:jc w:val="center"/>
              <w:rPr>
                <w:color w:val="auto"/>
                <w:kern w:val="0"/>
                <w:szCs w:val="21"/>
                <w:highlight w:val="none"/>
              </w:rPr>
            </w:pPr>
            <w:r>
              <w:rPr>
                <w:rFonts w:eastAsia="等线"/>
                <w:color w:val="auto"/>
                <w:szCs w:val="21"/>
                <w:highlight w:val="none"/>
              </w:rPr>
              <w:t xml:space="preserve">62.0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color w:val="auto"/>
                <w:kern w:val="0"/>
                <w:szCs w:val="21"/>
                <w:highlight w:val="none"/>
              </w:rPr>
              <w:t>20</w:t>
            </w:r>
          </w:p>
        </w:tc>
        <w:tc>
          <w:tcPr>
            <w:tcW w:w="263" w:type="pct"/>
            <w:vMerge w:val="continue"/>
            <w:vAlign w:val="center"/>
          </w:tcPr>
          <w:p>
            <w:pPr>
              <w:widowControl/>
              <w:jc w:val="center"/>
              <w:rPr>
                <w:color w:val="auto"/>
                <w:kern w:val="0"/>
                <w:szCs w:val="21"/>
                <w:highlight w:val="none"/>
              </w:rPr>
            </w:pPr>
          </w:p>
        </w:tc>
        <w:tc>
          <w:tcPr>
            <w:tcW w:w="313" w:type="pct"/>
            <w:vMerge w:val="continue"/>
            <w:vAlign w:val="center"/>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0</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eastAsia="宋体"/>
                <w:color w:val="auto"/>
                <w:kern w:val="0"/>
                <w:szCs w:val="21"/>
                <w:highlight w:val="none"/>
                <w:lang w:val="en-US" w:eastAsia="zh-CN"/>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71</w:t>
            </w:r>
          </w:p>
        </w:tc>
        <w:tc>
          <w:tcPr>
            <w:tcW w:w="185" w:type="pct"/>
            <w:vAlign w:val="center"/>
          </w:tcPr>
          <w:p>
            <w:pPr>
              <w:widowControl/>
              <w:jc w:val="center"/>
              <w:rPr>
                <w:color w:val="auto"/>
                <w:kern w:val="0"/>
                <w:szCs w:val="21"/>
                <w:highlight w:val="none"/>
              </w:rPr>
            </w:pPr>
            <w:r>
              <w:rPr>
                <w:rFonts w:hint="eastAsia"/>
                <w:color w:val="auto"/>
                <w:kern w:val="0"/>
                <w:szCs w:val="21"/>
                <w:highlight w:val="none"/>
              </w:rPr>
              <w:t>5</w:t>
            </w:r>
            <w:r>
              <w:rPr>
                <w:color w:val="auto"/>
                <w:kern w:val="0"/>
                <w:szCs w:val="21"/>
                <w:highlight w:val="none"/>
              </w:rPr>
              <w:t>2</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1</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eastAsia="宋体"/>
                <w:color w:val="auto"/>
                <w:kern w:val="0"/>
                <w:szCs w:val="21"/>
                <w:highlight w:val="none"/>
                <w:lang w:val="en-US" w:eastAsia="zh-CN"/>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21</w:t>
            </w:r>
          </w:p>
        </w:tc>
        <w:tc>
          <w:tcPr>
            <w:tcW w:w="185" w:type="pct"/>
            <w:vAlign w:val="center"/>
          </w:tcPr>
          <w:p>
            <w:pPr>
              <w:widowControl/>
              <w:jc w:val="center"/>
              <w:rPr>
                <w:color w:val="auto"/>
                <w:kern w:val="0"/>
                <w:szCs w:val="21"/>
                <w:highlight w:val="none"/>
              </w:rPr>
            </w:pPr>
            <w:r>
              <w:rPr>
                <w:rFonts w:hint="eastAsia"/>
                <w:color w:val="auto"/>
                <w:kern w:val="0"/>
                <w:szCs w:val="21"/>
                <w:highlight w:val="none"/>
              </w:rPr>
              <w:t>5</w:t>
            </w:r>
            <w:r>
              <w:rPr>
                <w:color w:val="auto"/>
                <w:kern w:val="0"/>
                <w:szCs w:val="21"/>
                <w:highlight w:val="none"/>
              </w:rPr>
              <w:t>8</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color w:val="auto"/>
                <w:kern w:val="0"/>
                <w:szCs w:val="21"/>
                <w:highlight w:val="none"/>
              </w:rPr>
              <w:t>22</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eastAsia="宋体"/>
                <w:color w:val="auto"/>
                <w:kern w:val="0"/>
                <w:szCs w:val="21"/>
                <w:highlight w:val="none"/>
                <w:lang w:val="en-US" w:eastAsia="zh-CN"/>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51</w:t>
            </w:r>
          </w:p>
        </w:tc>
        <w:tc>
          <w:tcPr>
            <w:tcW w:w="185"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8</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3</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8</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60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4</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58.0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4</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90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10</w:t>
            </w:r>
          </w:p>
        </w:tc>
        <w:tc>
          <w:tcPr>
            <w:tcW w:w="149" w:type="pct"/>
            <w:vAlign w:val="center"/>
          </w:tcPr>
          <w:p>
            <w:pPr>
              <w:widowControl/>
              <w:jc w:val="center"/>
              <w:rPr>
                <w:rFonts w:hint="eastAsia"/>
                <w:color w:val="auto"/>
                <w:kern w:val="0"/>
                <w:szCs w:val="21"/>
                <w:highlight w:val="none"/>
              </w:rPr>
            </w:pPr>
            <w:bookmarkStart w:id="25" w:name="OLE_LINK14"/>
            <w:r>
              <w:rPr>
                <w:rFonts w:hint="eastAsia"/>
                <w:color w:val="auto"/>
                <w:kern w:val="0"/>
                <w:szCs w:val="21"/>
                <w:highlight w:val="none"/>
              </w:rPr>
              <w:t>1</w:t>
            </w:r>
            <w:r>
              <w:rPr>
                <w:color w:val="auto"/>
                <w:kern w:val="0"/>
                <w:szCs w:val="21"/>
                <w:highlight w:val="none"/>
              </w:rPr>
              <w:t>5</w:t>
            </w:r>
            <w:bookmarkEnd w:id="25"/>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5</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hint="eastAsia"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4</w:t>
            </w:r>
            <w:r>
              <w:rPr>
                <w:color w:val="auto"/>
                <w:kern w:val="0"/>
                <w:szCs w:val="21"/>
                <w:highlight w:val="none"/>
              </w:rPr>
              <w:t>10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1</w:t>
            </w:r>
            <w:r>
              <w:rPr>
                <w:color w:val="auto"/>
                <w:kern w:val="0"/>
                <w:szCs w:val="21"/>
                <w:highlight w:val="none"/>
              </w:rPr>
              <w:t>03</w:t>
            </w:r>
          </w:p>
        </w:tc>
        <w:tc>
          <w:tcPr>
            <w:tcW w:w="149" w:type="pct"/>
          </w:tcPr>
          <w:p>
            <w:pPr>
              <w:widowControl/>
              <w:jc w:val="center"/>
              <w:rPr>
                <w:rFonts w:hint="eastAsia"/>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62.0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6</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rFonts w:hint="eastAsia"/>
                <w:color w:val="auto"/>
                <w:sz w:val="18"/>
                <w:szCs w:val="18"/>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0</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95</w:t>
            </w:r>
          </w:p>
        </w:tc>
        <w:tc>
          <w:tcPr>
            <w:tcW w:w="185" w:type="pct"/>
            <w:vAlign w:val="center"/>
          </w:tcPr>
          <w:p>
            <w:pPr>
              <w:widowControl/>
              <w:jc w:val="center"/>
              <w:rPr>
                <w:color w:val="auto"/>
                <w:kern w:val="0"/>
                <w:szCs w:val="21"/>
                <w:highlight w:val="none"/>
              </w:rPr>
            </w:pPr>
            <w:r>
              <w:rPr>
                <w:rFonts w:hint="eastAsia"/>
                <w:color w:val="auto"/>
                <w:kern w:val="0"/>
                <w:szCs w:val="21"/>
                <w:highlight w:val="none"/>
              </w:rPr>
              <w:t>9</w:t>
            </w:r>
            <w:r>
              <w:rPr>
                <w:color w:val="auto"/>
                <w:kern w:val="0"/>
                <w:szCs w:val="21"/>
                <w:highlight w:val="none"/>
              </w:rPr>
              <w:t>3</w:t>
            </w:r>
          </w:p>
        </w:tc>
        <w:tc>
          <w:tcPr>
            <w:tcW w:w="149" w:type="pct"/>
          </w:tcPr>
          <w:p>
            <w:pPr>
              <w:widowControl/>
              <w:jc w:val="center"/>
              <w:rPr>
                <w:rFonts w:hint="eastAsia"/>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3</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52.5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color w:val="auto"/>
                <w:kern w:val="0"/>
                <w:szCs w:val="21"/>
                <w:highlight w:val="none"/>
              </w:rPr>
              <w:t>7</w:t>
            </w:r>
          </w:p>
        </w:tc>
        <w:tc>
          <w:tcPr>
            <w:tcW w:w="255" w:type="pct"/>
            <w:vMerge w:val="continue"/>
            <w:vAlign w:val="center"/>
          </w:tcPr>
          <w:p>
            <w:pPr>
              <w:widowControl/>
              <w:jc w:val="center"/>
              <w:rPr>
                <w:color w:val="auto"/>
                <w:kern w:val="0"/>
                <w:szCs w:val="21"/>
                <w:highlight w:val="none"/>
              </w:rPr>
            </w:pPr>
          </w:p>
        </w:tc>
        <w:tc>
          <w:tcPr>
            <w:tcW w:w="1005" w:type="pct"/>
            <w:noWrap/>
            <w:vAlign w:val="center"/>
          </w:tcPr>
          <w:p>
            <w:pPr>
              <w:widowControl/>
              <w:jc w:val="center"/>
              <w:rPr>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05</w:t>
            </w:r>
          </w:p>
        </w:tc>
        <w:tc>
          <w:tcPr>
            <w:tcW w:w="185" w:type="pct"/>
            <w:vAlign w:val="center"/>
          </w:tcPr>
          <w:p>
            <w:pPr>
              <w:widowControl/>
              <w:jc w:val="center"/>
              <w:rPr>
                <w:color w:val="auto"/>
                <w:kern w:val="0"/>
                <w:szCs w:val="21"/>
                <w:highlight w:val="none"/>
              </w:rPr>
            </w:pPr>
            <w:r>
              <w:rPr>
                <w:rFonts w:hint="eastAsia"/>
                <w:color w:val="auto"/>
                <w:kern w:val="0"/>
                <w:szCs w:val="21"/>
                <w:highlight w:val="none"/>
              </w:rPr>
              <w:t>5</w:t>
            </w:r>
            <w:r>
              <w:rPr>
                <w:color w:val="auto"/>
                <w:kern w:val="0"/>
                <w:szCs w:val="21"/>
                <w:highlight w:val="none"/>
              </w:rPr>
              <w:t>9</w:t>
            </w:r>
          </w:p>
        </w:tc>
        <w:tc>
          <w:tcPr>
            <w:tcW w:w="149" w:type="pct"/>
          </w:tcPr>
          <w:p>
            <w:pPr>
              <w:widowControl/>
              <w:jc w:val="center"/>
              <w:rPr>
                <w:rFonts w:hint="eastAsia"/>
                <w:color w:val="auto"/>
                <w:kern w:val="0"/>
                <w:szCs w:val="21"/>
                <w:highlight w:val="none"/>
              </w:rPr>
            </w:pPr>
            <w:r>
              <w:rPr>
                <w:rFonts w:hint="eastAsia"/>
                <w:color w:val="auto"/>
                <w:kern w:val="0"/>
                <w:szCs w:val="21"/>
                <w:highlight w:val="none"/>
              </w:rPr>
              <w:t>1</w:t>
            </w:r>
            <w:r>
              <w:rPr>
                <w:color w:val="auto"/>
                <w:kern w:val="0"/>
                <w:szCs w:val="21"/>
                <w:highlight w:val="none"/>
              </w:rPr>
              <w:t>5</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3</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57.5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0</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2</w:t>
            </w:r>
            <w:r>
              <w:rPr>
                <w:rFonts w:hint="eastAsia"/>
                <w:color w:val="auto"/>
                <w:kern w:val="0"/>
                <w:szCs w:val="21"/>
                <w:highlight w:val="none"/>
                <w:lang w:val="en-US" w:eastAsia="zh-CN"/>
              </w:rPr>
              <w:t>8</w:t>
            </w:r>
          </w:p>
        </w:tc>
        <w:tc>
          <w:tcPr>
            <w:tcW w:w="255" w:type="pct"/>
            <w:vMerge w:val="restart"/>
            <w:vAlign w:val="center"/>
          </w:tcPr>
          <w:p>
            <w:pPr>
              <w:widowControl/>
              <w:jc w:val="center"/>
              <w:rPr>
                <w:color w:val="auto"/>
                <w:kern w:val="0"/>
                <w:szCs w:val="21"/>
                <w:highlight w:val="none"/>
              </w:rPr>
            </w:pPr>
            <w:r>
              <w:rPr>
                <w:rFonts w:hint="eastAsia"/>
                <w:color w:val="auto"/>
                <w:kern w:val="0"/>
                <w:szCs w:val="21"/>
                <w:highlight w:val="none"/>
              </w:rPr>
              <w:t>污水处理设施</w:t>
            </w: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restart"/>
            <w:vAlign w:val="center"/>
          </w:tcPr>
          <w:p>
            <w:pPr>
              <w:jc w:val="center"/>
              <w:rPr>
                <w:color w:val="auto"/>
                <w:kern w:val="0"/>
                <w:szCs w:val="21"/>
                <w:highlight w:val="none"/>
              </w:rPr>
            </w:pPr>
            <w:r>
              <w:rPr>
                <w:color w:val="auto"/>
                <w:kern w:val="0"/>
                <w:szCs w:val="21"/>
                <w:highlight w:val="none"/>
              </w:rPr>
              <w:t>低噪设备、基础减振</w:t>
            </w:r>
            <w:r>
              <w:rPr>
                <w:rFonts w:hint="eastAsia"/>
                <w:color w:val="auto"/>
                <w:kern w:val="0"/>
                <w:szCs w:val="21"/>
                <w:highlight w:val="none"/>
              </w:rPr>
              <w:t>、隔声罩壳</w:t>
            </w: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20</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41</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rFonts w:hint="eastAsia"/>
                <w:color w:val="auto"/>
                <w:kern w:val="0"/>
                <w:szCs w:val="21"/>
                <w:highlight w:val="none"/>
              </w:rPr>
              <w:t>5</w:t>
            </w:r>
          </w:p>
        </w:tc>
        <w:tc>
          <w:tcPr>
            <w:tcW w:w="263" w:type="pct"/>
            <w:vMerge w:val="restart"/>
            <w:vAlign w:val="center"/>
          </w:tcPr>
          <w:p>
            <w:pPr>
              <w:widowControl/>
              <w:jc w:val="center"/>
              <w:rPr>
                <w:rFonts w:eastAsia="等线"/>
                <w:color w:val="auto"/>
                <w:szCs w:val="21"/>
                <w:highlight w:val="none"/>
              </w:rPr>
            </w:pPr>
            <w:r>
              <w:rPr>
                <w:rFonts w:hint="eastAsia" w:eastAsia="等线"/>
                <w:color w:val="auto"/>
                <w:szCs w:val="21"/>
                <w:highlight w:val="none"/>
              </w:rPr>
              <w:t>5</w:t>
            </w:r>
            <w:r>
              <w:rPr>
                <w:rFonts w:eastAsia="等线"/>
                <w:color w:val="auto"/>
                <w:szCs w:val="21"/>
                <w:highlight w:val="none"/>
              </w:rPr>
              <w:t>4.8</w:t>
            </w:r>
          </w:p>
        </w:tc>
        <w:tc>
          <w:tcPr>
            <w:tcW w:w="313" w:type="pct"/>
            <w:vMerge w:val="restart"/>
            <w:vAlign w:val="center"/>
          </w:tcPr>
          <w:p>
            <w:pPr>
              <w:jc w:val="center"/>
              <w:rPr>
                <w:color w:val="auto"/>
                <w:kern w:val="0"/>
                <w:szCs w:val="21"/>
                <w:highlight w:val="none"/>
              </w:rPr>
            </w:pPr>
            <w:r>
              <w:rPr>
                <w:color w:val="auto"/>
                <w:kern w:val="0"/>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29</w:t>
            </w:r>
          </w:p>
        </w:tc>
        <w:tc>
          <w:tcPr>
            <w:tcW w:w="255" w:type="pct"/>
            <w:vMerge w:val="continue"/>
            <w:vAlign w:val="center"/>
          </w:tcPr>
          <w:p>
            <w:pPr>
              <w:widowControl/>
              <w:jc w:val="center"/>
              <w:rPr>
                <w:rFonts w:hint="eastAsia"/>
                <w:color w:val="auto"/>
                <w:kern w:val="0"/>
                <w:szCs w:val="21"/>
                <w:highlight w:val="none"/>
              </w:rPr>
            </w:pP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42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40</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5</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30</w:t>
            </w:r>
          </w:p>
        </w:tc>
        <w:tc>
          <w:tcPr>
            <w:tcW w:w="255" w:type="pct"/>
            <w:vMerge w:val="continue"/>
            <w:vAlign w:val="center"/>
          </w:tcPr>
          <w:p>
            <w:pPr>
              <w:widowControl/>
              <w:jc w:val="center"/>
              <w:rPr>
                <w:rFonts w:hint="eastAsia"/>
                <w:color w:val="auto"/>
                <w:kern w:val="0"/>
                <w:szCs w:val="21"/>
                <w:highlight w:val="none"/>
              </w:rPr>
            </w:pP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22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39</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5</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3</w:t>
            </w:r>
            <w:r>
              <w:rPr>
                <w:color w:val="auto"/>
                <w:kern w:val="0"/>
                <w:szCs w:val="21"/>
                <w:highlight w:val="none"/>
              </w:rPr>
              <w:t>1</w:t>
            </w:r>
          </w:p>
        </w:tc>
        <w:tc>
          <w:tcPr>
            <w:tcW w:w="255" w:type="pct"/>
            <w:vMerge w:val="continue"/>
            <w:vAlign w:val="center"/>
          </w:tcPr>
          <w:p>
            <w:pPr>
              <w:widowControl/>
              <w:jc w:val="center"/>
              <w:rPr>
                <w:rFonts w:hint="eastAsia"/>
                <w:color w:val="auto"/>
                <w:kern w:val="0"/>
                <w:szCs w:val="21"/>
                <w:highlight w:val="none"/>
              </w:rPr>
            </w:pP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25</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40</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5</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rPr>
              <w:t>3</w:t>
            </w:r>
            <w:r>
              <w:rPr>
                <w:color w:val="auto"/>
                <w:kern w:val="0"/>
                <w:szCs w:val="21"/>
                <w:highlight w:val="none"/>
              </w:rPr>
              <w:t>2</w:t>
            </w:r>
          </w:p>
        </w:tc>
        <w:tc>
          <w:tcPr>
            <w:tcW w:w="255" w:type="pct"/>
            <w:vMerge w:val="continue"/>
            <w:vAlign w:val="center"/>
          </w:tcPr>
          <w:p>
            <w:pPr>
              <w:widowControl/>
              <w:jc w:val="center"/>
              <w:rPr>
                <w:rFonts w:hint="eastAsia"/>
                <w:color w:val="auto"/>
                <w:kern w:val="0"/>
                <w:szCs w:val="21"/>
                <w:highlight w:val="none"/>
              </w:rPr>
            </w:pP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23</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43</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tcPr>
          <w:p>
            <w:pPr>
              <w:widowControl/>
              <w:jc w:val="center"/>
              <w:rPr>
                <w:color w:val="auto"/>
                <w:kern w:val="0"/>
                <w:szCs w:val="21"/>
                <w:highlight w:val="none"/>
              </w:rPr>
            </w:pPr>
            <w:r>
              <w:rPr>
                <w:color w:val="auto"/>
                <w:kern w:val="0"/>
                <w:szCs w:val="21"/>
                <w:highlight w:val="none"/>
              </w:rPr>
              <w:t>连续</w:t>
            </w:r>
          </w:p>
        </w:tc>
        <w:tc>
          <w:tcPr>
            <w:tcW w:w="351" w:type="pct"/>
          </w:tcPr>
          <w:p>
            <w:pPr>
              <w:widowControl/>
              <w:jc w:val="center"/>
              <w:rPr>
                <w:color w:val="auto"/>
                <w:kern w:val="0"/>
                <w:szCs w:val="21"/>
                <w:highlight w:val="none"/>
              </w:rPr>
            </w:pPr>
            <w:r>
              <w:rPr>
                <w:rFonts w:hint="eastAsia"/>
                <w:color w:val="auto"/>
                <w:kern w:val="0"/>
                <w:szCs w:val="21"/>
                <w:highlight w:val="none"/>
              </w:rPr>
              <w:t>5</w:t>
            </w:r>
          </w:p>
        </w:tc>
        <w:tc>
          <w:tcPr>
            <w:tcW w:w="263" w:type="pct"/>
            <w:vMerge w:val="continue"/>
            <w:vAlign w:val="center"/>
          </w:tcPr>
          <w:p>
            <w:pPr>
              <w:widowControl/>
              <w:jc w:val="center"/>
              <w:rPr>
                <w:rFonts w:eastAsia="等线"/>
                <w:color w:val="auto"/>
                <w:szCs w:val="21"/>
                <w:highlight w:val="none"/>
              </w:rPr>
            </w:pPr>
          </w:p>
        </w:tc>
        <w:tc>
          <w:tcPr>
            <w:tcW w:w="313" w:type="pct"/>
            <w:vMerge w:val="continue"/>
          </w:tcPr>
          <w:p>
            <w:pPr>
              <w:jc w:val="center"/>
              <w:rPr>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94" w:type="pct"/>
            <w:shd w:val="clear" w:color="auto" w:fill="auto"/>
            <w:vAlign w:val="center"/>
          </w:tcPr>
          <w:p>
            <w:pPr>
              <w:widowControl/>
              <w:jc w:val="center"/>
              <w:rPr>
                <w:rFonts w:hint="eastAsia" w:ascii="Times New Roman" w:hAnsi="Times New Roman" w:eastAsia="宋体" w:cs="Times New Roman"/>
                <w:color w:val="auto"/>
                <w:kern w:val="0"/>
                <w:sz w:val="21"/>
                <w:szCs w:val="21"/>
                <w:highlight w:val="none"/>
                <w:lang w:val="en-US" w:eastAsia="zh-CN" w:bidi="ar-SA"/>
              </w:rPr>
            </w:pPr>
            <w:r>
              <w:rPr>
                <w:color w:val="auto"/>
                <w:kern w:val="0"/>
                <w:szCs w:val="21"/>
                <w:highlight w:val="none"/>
              </w:rPr>
              <w:t>33</w:t>
            </w:r>
          </w:p>
        </w:tc>
        <w:tc>
          <w:tcPr>
            <w:tcW w:w="255" w:type="pct"/>
            <w:vMerge w:val="continue"/>
            <w:vAlign w:val="center"/>
          </w:tcPr>
          <w:p>
            <w:pPr>
              <w:widowControl/>
              <w:jc w:val="center"/>
              <w:rPr>
                <w:rFonts w:hint="eastAsia"/>
                <w:color w:val="auto"/>
                <w:kern w:val="0"/>
                <w:szCs w:val="21"/>
                <w:highlight w:val="none"/>
              </w:rPr>
            </w:pPr>
          </w:p>
        </w:tc>
        <w:tc>
          <w:tcPr>
            <w:tcW w:w="1005" w:type="pct"/>
            <w:noWrap/>
            <w:vAlign w:val="center"/>
          </w:tcPr>
          <w:p>
            <w:pPr>
              <w:widowControl/>
              <w:jc w:val="center"/>
              <w:rPr>
                <w:rFonts w:hint="eastAsia"/>
                <w:color w:val="auto"/>
                <w:szCs w:val="21"/>
                <w:highlight w:val="none"/>
              </w:rPr>
            </w:pPr>
          </w:p>
        </w:tc>
        <w:tc>
          <w:tcPr>
            <w:tcW w:w="714" w:type="pct"/>
            <w:vAlign w:val="center"/>
          </w:tcPr>
          <w:p>
            <w:pPr>
              <w:widowControl/>
              <w:jc w:val="center"/>
              <w:rPr>
                <w:rFonts w:eastAsiaTheme="minorEastAsia"/>
                <w:color w:val="auto"/>
                <w:kern w:val="0"/>
                <w:szCs w:val="21"/>
                <w:highlight w:val="none"/>
              </w:rPr>
            </w:pPr>
          </w:p>
        </w:tc>
        <w:tc>
          <w:tcPr>
            <w:tcW w:w="201" w:type="pct"/>
            <w:noWrap/>
            <w:vAlign w:val="center"/>
          </w:tcPr>
          <w:p>
            <w:pPr>
              <w:widowControl/>
              <w:jc w:val="center"/>
              <w:rPr>
                <w:rFonts w:hint="eastAsia"/>
                <w:color w:val="auto"/>
                <w:kern w:val="0"/>
                <w:szCs w:val="21"/>
                <w:highlight w:val="none"/>
              </w:rPr>
            </w:pPr>
          </w:p>
        </w:tc>
        <w:tc>
          <w:tcPr>
            <w:tcW w:w="262" w:type="pct"/>
            <w:noWrap/>
            <w:vAlign w:val="center"/>
          </w:tcPr>
          <w:p>
            <w:pPr>
              <w:widowControl/>
              <w:jc w:val="center"/>
              <w:rPr>
                <w:rFonts w:hint="eastAsia"/>
                <w:color w:val="auto"/>
                <w:kern w:val="0"/>
                <w:szCs w:val="21"/>
                <w:highlight w:val="none"/>
              </w:rPr>
            </w:pPr>
            <w:r>
              <w:rPr>
                <w:rFonts w:hint="eastAsia"/>
                <w:color w:val="auto"/>
                <w:kern w:val="0"/>
                <w:szCs w:val="21"/>
                <w:highlight w:val="none"/>
              </w:rPr>
              <w:t>7</w:t>
            </w:r>
            <w:r>
              <w:rPr>
                <w:color w:val="auto"/>
                <w:kern w:val="0"/>
                <w:szCs w:val="21"/>
                <w:highlight w:val="none"/>
              </w:rPr>
              <w:t>5</w:t>
            </w:r>
          </w:p>
        </w:tc>
        <w:tc>
          <w:tcPr>
            <w:tcW w:w="237" w:type="pct"/>
            <w:vMerge w:val="continue"/>
            <w:vAlign w:val="center"/>
          </w:tcPr>
          <w:p>
            <w:pPr>
              <w:widowControl/>
              <w:jc w:val="center"/>
              <w:rPr>
                <w:color w:val="auto"/>
                <w:kern w:val="0"/>
                <w:szCs w:val="21"/>
                <w:highlight w:val="none"/>
              </w:rPr>
            </w:pPr>
          </w:p>
        </w:tc>
        <w:tc>
          <w:tcPr>
            <w:tcW w:w="200" w:type="pct"/>
            <w:vAlign w:val="center"/>
          </w:tcPr>
          <w:p>
            <w:pPr>
              <w:widowControl/>
              <w:jc w:val="center"/>
              <w:rPr>
                <w:color w:val="auto"/>
                <w:kern w:val="0"/>
                <w:szCs w:val="21"/>
                <w:highlight w:val="none"/>
              </w:rPr>
            </w:pPr>
            <w:r>
              <w:rPr>
                <w:rFonts w:hint="eastAsia"/>
                <w:color w:val="auto"/>
                <w:kern w:val="0"/>
                <w:szCs w:val="21"/>
                <w:highlight w:val="none"/>
              </w:rPr>
              <w:t>3</w:t>
            </w:r>
            <w:r>
              <w:rPr>
                <w:color w:val="auto"/>
                <w:kern w:val="0"/>
                <w:szCs w:val="21"/>
                <w:highlight w:val="none"/>
              </w:rPr>
              <w:t>32</w:t>
            </w:r>
          </w:p>
        </w:tc>
        <w:tc>
          <w:tcPr>
            <w:tcW w:w="185" w:type="pct"/>
            <w:vAlign w:val="center"/>
          </w:tcPr>
          <w:p>
            <w:pPr>
              <w:widowControl/>
              <w:jc w:val="center"/>
              <w:rPr>
                <w:color w:val="auto"/>
                <w:kern w:val="0"/>
                <w:szCs w:val="21"/>
                <w:highlight w:val="none"/>
              </w:rPr>
            </w:pPr>
            <w:r>
              <w:rPr>
                <w:rFonts w:hint="eastAsia"/>
                <w:color w:val="auto"/>
                <w:kern w:val="0"/>
                <w:szCs w:val="21"/>
                <w:highlight w:val="none"/>
              </w:rPr>
              <w:t>2</w:t>
            </w:r>
            <w:r>
              <w:rPr>
                <w:color w:val="auto"/>
                <w:kern w:val="0"/>
                <w:szCs w:val="21"/>
                <w:highlight w:val="none"/>
              </w:rPr>
              <w:t>62</w:t>
            </w:r>
          </w:p>
        </w:tc>
        <w:tc>
          <w:tcPr>
            <w:tcW w:w="149" w:type="pct"/>
            <w:vAlign w:val="center"/>
          </w:tcPr>
          <w:p>
            <w:pPr>
              <w:widowControl/>
              <w:jc w:val="center"/>
              <w:rPr>
                <w:rFonts w:hint="eastAsia"/>
                <w:color w:val="auto"/>
                <w:kern w:val="0"/>
                <w:szCs w:val="21"/>
                <w:highlight w:val="none"/>
              </w:rPr>
            </w:pPr>
            <w:r>
              <w:rPr>
                <w:rFonts w:hint="eastAsia"/>
                <w:color w:val="auto"/>
                <w:kern w:val="0"/>
                <w:szCs w:val="21"/>
                <w:highlight w:val="none"/>
              </w:rPr>
              <w:t>1</w:t>
            </w:r>
          </w:p>
        </w:tc>
        <w:tc>
          <w:tcPr>
            <w:tcW w:w="216" w:type="pct"/>
            <w:vAlign w:val="center"/>
          </w:tcPr>
          <w:p>
            <w:pPr>
              <w:widowControl/>
              <w:jc w:val="center"/>
              <w:rPr>
                <w:rFonts w:hint="eastAsia"/>
                <w:color w:val="auto"/>
                <w:kern w:val="0"/>
                <w:szCs w:val="21"/>
                <w:highlight w:val="none"/>
              </w:rPr>
            </w:pPr>
            <w:r>
              <w:rPr>
                <w:rFonts w:hint="eastAsia"/>
                <w:color w:val="auto"/>
                <w:kern w:val="0"/>
                <w:szCs w:val="21"/>
                <w:highlight w:val="none"/>
              </w:rPr>
              <w:t>0</w:t>
            </w:r>
            <w:r>
              <w:rPr>
                <w:color w:val="auto"/>
                <w:kern w:val="0"/>
                <w:szCs w:val="21"/>
                <w:highlight w:val="none"/>
              </w:rPr>
              <w:t>.5</w:t>
            </w:r>
          </w:p>
        </w:tc>
        <w:tc>
          <w:tcPr>
            <w:tcW w:w="263" w:type="pct"/>
            <w:vAlign w:val="center"/>
          </w:tcPr>
          <w:p>
            <w:pPr>
              <w:widowControl/>
              <w:jc w:val="center"/>
              <w:rPr>
                <w:rFonts w:eastAsia="等线"/>
                <w:color w:val="auto"/>
                <w:szCs w:val="21"/>
                <w:highlight w:val="none"/>
              </w:rPr>
            </w:pPr>
            <w:r>
              <w:rPr>
                <w:rFonts w:eastAsia="等线"/>
                <w:color w:val="auto"/>
                <w:szCs w:val="21"/>
                <w:highlight w:val="none"/>
              </w:rPr>
              <w:t xml:space="preserve">73.0 </w:t>
            </w:r>
          </w:p>
        </w:tc>
        <w:tc>
          <w:tcPr>
            <w:tcW w:w="187" w:type="pct"/>
            <w:vAlign w:val="center"/>
          </w:tcPr>
          <w:p>
            <w:pPr>
              <w:widowControl/>
              <w:jc w:val="center"/>
              <w:rPr>
                <w:color w:val="auto"/>
                <w:kern w:val="0"/>
                <w:szCs w:val="21"/>
                <w:highlight w:val="none"/>
              </w:rPr>
            </w:pPr>
            <w:r>
              <w:rPr>
                <w:color w:val="auto"/>
                <w:kern w:val="0"/>
                <w:szCs w:val="21"/>
                <w:highlight w:val="none"/>
              </w:rPr>
              <w:t>连续</w:t>
            </w:r>
          </w:p>
        </w:tc>
        <w:tc>
          <w:tcPr>
            <w:tcW w:w="351" w:type="pct"/>
            <w:vAlign w:val="center"/>
          </w:tcPr>
          <w:p>
            <w:pPr>
              <w:widowControl/>
              <w:jc w:val="center"/>
              <w:rPr>
                <w:color w:val="auto"/>
                <w:kern w:val="0"/>
                <w:szCs w:val="21"/>
                <w:highlight w:val="none"/>
              </w:rPr>
            </w:pPr>
            <w:r>
              <w:rPr>
                <w:rFonts w:hint="eastAsia"/>
                <w:color w:val="auto"/>
                <w:kern w:val="0"/>
                <w:szCs w:val="21"/>
                <w:highlight w:val="none"/>
              </w:rPr>
              <w:t>5</w:t>
            </w:r>
          </w:p>
        </w:tc>
        <w:tc>
          <w:tcPr>
            <w:tcW w:w="263" w:type="pct"/>
            <w:vMerge w:val="continue"/>
            <w:vAlign w:val="center"/>
          </w:tcPr>
          <w:p>
            <w:pPr>
              <w:widowControl/>
              <w:jc w:val="center"/>
              <w:rPr>
                <w:rFonts w:eastAsia="等线"/>
                <w:color w:val="auto"/>
                <w:szCs w:val="21"/>
                <w:highlight w:val="none"/>
              </w:rPr>
            </w:pPr>
          </w:p>
        </w:tc>
        <w:tc>
          <w:tcPr>
            <w:tcW w:w="313" w:type="pct"/>
            <w:vMerge w:val="continue"/>
            <w:vAlign w:val="center"/>
          </w:tcPr>
          <w:p>
            <w:pPr>
              <w:widowControl/>
              <w:jc w:val="center"/>
              <w:rPr>
                <w:color w:val="auto"/>
                <w:kern w:val="0"/>
                <w:szCs w:val="21"/>
                <w:highlight w:val="none"/>
              </w:rPr>
            </w:pPr>
          </w:p>
        </w:tc>
      </w:tr>
    </w:tbl>
    <w:p>
      <w:pPr>
        <w:rPr>
          <w:color w:val="auto"/>
          <w:highlight w:val="none"/>
        </w:rPr>
      </w:pPr>
    </w:p>
    <w:p>
      <w:pPr>
        <w:rPr>
          <w:color w:val="auto"/>
          <w:highlight w:val="none"/>
        </w:rPr>
      </w:pPr>
    </w:p>
    <w:p>
      <w:pPr>
        <w:rPr>
          <w:color w:val="auto"/>
          <w:highlight w:val="none"/>
        </w:rPr>
        <w:sectPr>
          <w:pgSz w:w="16838" w:h="11906" w:orient="landscape"/>
          <w:pgMar w:top="1304" w:right="1417" w:bottom="1304" w:left="1304" w:header="851" w:footer="992" w:gutter="0"/>
          <w:cols w:space="425" w:num="1"/>
          <w:docGrid w:type="lines" w:linePitch="312" w:charSpace="0"/>
        </w:sectPr>
      </w:pPr>
    </w:p>
    <w:tbl>
      <w:tblPr>
        <w:tblStyle w:val="20"/>
        <w:tblW w:w="524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08"/>
        <w:gridCol w:w="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3" w:hRule="atLeast"/>
          <w:jc w:val="center"/>
        </w:trPr>
        <w:tc>
          <w:tcPr>
            <w:tcW w:w="218" w:type="pct"/>
            <w:tcMar>
              <w:left w:w="28" w:type="dxa"/>
              <w:right w:w="28" w:type="dxa"/>
            </w:tcMar>
            <w:vAlign w:val="center"/>
          </w:tcPr>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措施</w:t>
            </w:r>
          </w:p>
        </w:tc>
        <w:tc>
          <w:tcPr>
            <w:tcW w:w="4781" w:type="pct"/>
            <w:gridSpan w:val="2"/>
            <w:vAlign w:val="center"/>
          </w:tcPr>
          <w:p>
            <w:pPr>
              <w:pStyle w:val="42"/>
              <w:rPr>
                <w:color w:val="auto"/>
                <w:highlight w:val="none"/>
              </w:rPr>
            </w:pPr>
            <w:r>
              <w:rPr>
                <w:rFonts w:hint="eastAsia"/>
                <w:color w:val="auto"/>
                <w:highlight w:val="none"/>
              </w:rPr>
              <w:t>4.2.3.2 噪声影响预测评价</w:t>
            </w:r>
          </w:p>
          <w:p>
            <w:pPr>
              <w:spacing w:line="360" w:lineRule="auto"/>
              <w:ind w:firstLine="480" w:firstLineChars="200"/>
              <w:rPr>
                <w:color w:val="auto"/>
                <w:sz w:val="24"/>
                <w:szCs w:val="32"/>
                <w:highlight w:val="none"/>
              </w:rPr>
            </w:pPr>
            <w:r>
              <w:rPr>
                <w:color w:val="auto"/>
                <w:sz w:val="24"/>
                <w:szCs w:val="32"/>
                <w:highlight w:val="none"/>
              </w:rPr>
              <w:t>A、预测范围、点位与评价因子</w:t>
            </w:r>
          </w:p>
          <w:p>
            <w:pPr>
              <w:spacing w:line="360" w:lineRule="auto"/>
              <w:ind w:firstLine="480" w:firstLineChars="200"/>
              <w:rPr>
                <w:color w:val="auto"/>
                <w:sz w:val="24"/>
                <w:szCs w:val="32"/>
                <w:highlight w:val="none"/>
              </w:rPr>
            </w:pPr>
            <w:r>
              <w:rPr>
                <w:color w:val="auto"/>
                <w:sz w:val="24"/>
                <w:szCs w:val="32"/>
                <w:highlight w:val="none"/>
              </w:rPr>
              <w:t>噪声预测范围为：厂界范围</w:t>
            </w:r>
            <w:r>
              <w:rPr>
                <w:rFonts w:hint="eastAsia"/>
                <w:color w:val="auto"/>
                <w:sz w:val="24"/>
                <w:szCs w:val="32"/>
                <w:highlight w:val="none"/>
              </w:rPr>
              <w:t>20</w:t>
            </w:r>
            <w:r>
              <w:rPr>
                <w:color w:val="auto"/>
                <w:sz w:val="24"/>
                <w:szCs w:val="32"/>
                <w:highlight w:val="none"/>
              </w:rPr>
              <w:t xml:space="preserve">0m； </w:t>
            </w:r>
          </w:p>
          <w:p>
            <w:pPr>
              <w:spacing w:line="360" w:lineRule="auto"/>
              <w:ind w:firstLine="480" w:firstLineChars="200"/>
              <w:rPr>
                <w:color w:val="auto"/>
                <w:sz w:val="24"/>
                <w:szCs w:val="32"/>
                <w:highlight w:val="none"/>
              </w:rPr>
            </w:pPr>
            <w:r>
              <w:rPr>
                <w:color w:val="auto"/>
                <w:sz w:val="24"/>
                <w:szCs w:val="32"/>
                <w:highlight w:val="none"/>
              </w:rPr>
              <w:t xml:space="preserve">预测点位：以现状监测点为预测评价点； </w:t>
            </w:r>
          </w:p>
          <w:p>
            <w:pPr>
              <w:pStyle w:val="32"/>
              <w:ind w:firstLine="480"/>
              <w:rPr>
                <w:color w:val="auto"/>
                <w:szCs w:val="32"/>
                <w:highlight w:val="none"/>
              </w:rPr>
            </w:pPr>
            <w:r>
              <w:rPr>
                <w:color w:val="auto"/>
                <w:szCs w:val="32"/>
                <w:highlight w:val="none"/>
              </w:rPr>
              <w:t>预测内容：昼、夜间预测点位等效连续A声级。</w:t>
            </w:r>
          </w:p>
          <w:p>
            <w:pPr>
              <w:spacing w:line="360" w:lineRule="auto"/>
              <w:ind w:firstLine="480" w:firstLineChars="200"/>
              <w:jc w:val="left"/>
              <w:rPr>
                <w:color w:val="auto"/>
                <w:sz w:val="24"/>
                <w:szCs w:val="32"/>
                <w:highlight w:val="none"/>
              </w:rPr>
            </w:pPr>
            <w:r>
              <w:rPr>
                <w:color w:val="auto"/>
                <w:sz w:val="24"/>
                <w:szCs w:val="32"/>
                <w:highlight w:val="none"/>
              </w:rPr>
              <w:t>B、声环境影响预测模式</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根据《环境影响评价技术导则</w:t>
            </w:r>
            <w:r>
              <w:rPr>
                <w:rFonts w:hint="eastAsia" w:cs="宋体"/>
                <w:color w:val="auto"/>
                <w:kern w:val="0"/>
                <w:sz w:val="24"/>
                <w:highlight w:val="none"/>
              </w:rPr>
              <w:t>—</w:t>
            </w:r>
            <w:r>
              <w:rPr>
                <w:rFonts w:cs="宋体"/>
                <w:color w:val="auto"/>
                <w:kern w:val="0"/>
                <w:sz w:val="24"/>
                <w:highlight w:val="none"/>
              </w:rPr>
              <w:t>声环境》</w:t>
            </w:r>
            <w:r>
              <w:rPr>
                <w:rFonts w:hint="eastAsia" w:cs="宋体"/>
                <w:color w:val="auto"/>
                <w:kern w:val="0"/>
                <w:sz w:val="24"/>
                <w:highlight w:val="none"/>
              </w:rPr>
              <w:t>（</w:t>
            </w:r>
            <w:r>
              <w:rPr>
                <w:rFonts w:cs="宋体"/>
                <w:color w:val="auto"/>
                <w:kern w:val="0"/>
                <w:sz w:val="24"/>
                <w:highlight w:val="none"/>
              </w:rPr>
              <w:t>HJ2.4-20</w:t>
            </w:r>
            <w:r>
              <w:rPr>
                <w:rFonts w:hint="eastAsia" w:cs="宋体"/>
                <w:color w:val="auto"/>
                <w:kern w:val="0"/>
                <w:sz w:val="24"/>
                <w:highlight w:val="none"/>
              </w:rPr>
              <w:t>21）</w:t>
            </w:r>
            <w:r>
              <w:rPr>
                <w:rFonts w:cs="宋体"/>
                <w:color w:val="auto"/>
                <w:kern w:val="0"/>
                <w:sz w:val="24"/>
                <w:highlight w:val="none"/>
              </w:rPr>
              <w:t>的技术要求，本次评价采取导则推荐模式。</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a.</w:t>
            </w:r>
            <w:r>
              <w:rPr>
                <w:rFonts w:cs="宋体"/>
                <w:color w:val="auto"/>
                <w:kern w:val="0"/>
                <w:sz w:val="24"/>
                <w:highlight w:val="none"/>
              </w:rPr>
              <w:t>声级计算</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建设项目声源在预测点产生的等效声级贡献值(</w:t>
            </w:r>
            <w:r>
              <w:rPr>
                <w:rFonts w:cs="宋体"/>
                <w:color w:val="auto"/>
                <w:kern w:val="0"/>
                <w:sz w:val="24"/>
                <w:highlight w:val="none"/>
              </w:rPr>
              <w:object>
                <v:shape id="_x0000_i1027" o:spt="75" type="#_x0000_t75" style="height:18.8pt;width:20.95pt;" o:ole="t" filled="f" o:preferrelative="t" stroked="f" coordsize="21600,21600">
                  <v:path/>
                  <v:fill on="f" focussize="0,0"/>
                  <v:stroke on="f" joinstyle="miter"/>
                  <v:imagedata r:id="rId27" o:title=""/>
                  <o:lock v:ext="edit" aspectratio="t"/>
                  <w10:wrap type="none"/>
                  <w10:anchorlock/>
                </v:shape>
                <o:OLEObject Type="Embed" ProgID="Visio.Drawing.15" ShapeID="_x0000_i1027" DrawAspect="Content" ObjectID="_1468075727" r:id="rId26">
                  <o:LockedField>false</o:LockedField>
                </o:OLEObject>
              </w:object>
            </w:r>
            <w:r>
              <w:rPr>
                <w:rFonts w:cs="宋体"/>
                <w:color w:val="auto"/>
                <w:kern w:val="0"/>
                <w:sz w:val="24"/>
                <w:highlight w:val="none"/>
              </w:rPr>
              <w:t>)计算公式：</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28" o:spt="75" type="#_x0000_t75" style="height:36pt;width:131.1pt;" o:ole="t" filled="f" o:preferrelative="t" stroked="f" coordsize="21600,21600">
                  <v:path/>
                  <v:fill on="f" focussize="0,0"/>
                  <v:stroke on="f" joinstyle="miter"/>
                  <v:imagedata r:id="rId29" o:title=""/>
                  <o:lock v:ext="edit" aspectratio="t"/>
                  <w10:wrap type="none"/>
                  <w10:anchorlock/>
                </v:shape>
                <o:OLEObject Type="Embed" ProgID="Visio.Drawing.15" ShapeID="_x0000_i1028" DrawAspect="Content" ObjectID="_1468075728" r:id="rId28">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式中：</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29" o:spt="75" type="#_x0000_t75" style="height:18.8pt;width:20.95pt;" o:ole="t" filled="f" o:preferrelative="t" stroked="f" coordsize="21600,21600">
                  <v:path/>
                  <v:fill on="f" focussize="0,0"/>
                  <v:stroke on="f" joinstyle="miter"/>
                  <v:imagedata r:id="rId31" o:title=""/>
                  <o:lock v:ext="edit" aspectratio="t"/>
                  <w10:wrap type="none"/>
                  <w10:anchorlock/>
                </v:shape>
                <o:OLEObject Type="Embed" ProgID="Visio.Drawing.15" ShapeID="_x0000_i1029" DrawAspect="Content" ObjectID="_1468075729" r:id="rId30">
                  <o:LockedField>false</o:LockedField>
                </o:OLEObject>
              </w:object>
            </w:r>
            <w:r>
              <w:rPr>
                <w:rFonts w:cs="宋体"/>
                <w:color w:val="auto"/>
                <w:kern w:val="0"/>
                <w:sz w:val="24"/>
                <w:highlight w:val="none"/>
              </w:rPr>
              <w:t xml:space="preserve"> —建设项目声源在预测点的等效声级贡献值，dB(A)；</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30" o:spt="75" type="#_x0000_t75" style="height:18.25pt;width:17.2pt;" o:ole="t" filled="f" o:preferrelative="t" stroked="f" coordsize="21600,21600">
                  <v:path/>
                  <v:fill on="f" focussize="0,0"/>
                  <v:stroke on="f" joinstyle="miter"/>
                  <v:imagedata r:id="rId33" o:title=""/>
                  <o:lock v:ext="edit" aspectratio="t"/>
                  <w10:wrap type="none"/>
                  <w10:anchorlock/>
                </v:shape>
                <o:OLEObject Type="Embed" ProgID="Visio.Drawing.15" ShapeID="_x0000_i1030" DrawAspect="Content" ObjectID="_1468075730" r:id="rId32">
                  <o:LockedField>false</o:LockedField>
                </o:OLEObject>
              </w:object>
            </w:r>
            <w:r>
              <w:rPr>
                <w:rFonts w:cs="宋体"/>
                <w:color w:val="auto"/>
                <w:kern w:val="0"/>
                <w:sz w:val="24"/>
                <w:highlight w:val="none"/>
              </w:rPr>
              <w:t xml:space="preserve"> —</w:t>
            </w:r>
            <w:r>
              <w:rPr>
                <w:rFonts w:cs="宋体"/>
                <w:color w:val="auto"/>
                <w:kern w:val="0"/>
                <w:sz w:val="24"/>
                <w:highlight w:val="none"/>
              </w:rPr>
              <w:object>
                <v:shape id="_x0000_i1031" o:spt="75" type="#_x0000_t75" style="height:12.9pt;width:7pt;" o:ole="t" filled="f" o:preferrelative="t" stroked="f" coordsize="21600,21600">
                  <v:path/>
                  <v:fill on="f" focussize="0,0"/>
                  <v:stroke on="f" joinstyle="miter"/>
                  <v:imagedata r:id="rId35" o:title=""/>
                  <o:lock v:ext="edit" aspectratio="t"/>
                  <w10:wrap type="none"/>
                  <w10:anchorlock/>
                </v:shape>
                <o:OLEObject Type="Embed" ProgID="Visio.Drawing.15" ShapeID="_x0000_i1031" DrawAspect="Content" ObjectID="_1468075731" r:id="rId34">
                  <o:LockedField>false</o:LockedField>
                </o:OLEObject>
              </w:object>
            </w:r>
            <w:r>
              <w:rPr>
                <w:rFonts w:cs="宋体"/>
                <w:color w:val="auto"/>
                <w:kern w:val="0"/>
                <w:sz w:val="24"/>
                <w:highlight w:val="none"/>
              </w:rPr>
              <w:t>声源在预测点产生的A声级，dB(A)；</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32" o:spt="75" type="#_x0000_t75" style="height:12.9pt;width:10.75pt;" o:ole="t" filled="f" o:preferrelative="t" stroked="f" coordsize="21600,21600">
                  <v:path/>
                  <v:fill on="f" focussize="0,0"/>
                  <v:stroke on="f" joinstyle="miter"/>
                  <v:imagedata r:id="rId37" o:title=""/>
                  <o:lock v:ext="edit" aspectratio="t"/>
                  <w10:wrap type="none"/>
                  <w10:anchorlock/>
                </v:shape>
                <o:OLEObject Type="Embed" ProgID="Visio.Drawing.15" ShapeID="_x0000_i1032" DrawAspect="Content" ObjectID="_1468075732" r:id="rId36">
                  <o:LockedField>false</o:LockedField>
                </o:OLEObject>
              </w:object>
            </w:r>
            <w:r>
              <w:rPr>
                <w:rFonts w:cs="宋体"/>
                <w:color w:val="auto"/>
                <w:kern w:val="0"/>
                <w:sz w:val="24"/>
                <w:highlight w:val="none"/>
              </w:rPr>
              <w:t xml:space="preserve"> — 预测计算的时间段，s；</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33" o:spt="75" type="#_x0000_t75" style="height:18.25pt;width:8.6pt;" o:ole="t" filled="f" o:preferrelative="t" stroked="f" coordsize="21600,21600">
                  <v:path/>
                  <v:fill on="f" focussize="0,0"/>
                  <v:stroke on="f" joinstyle="miter"/>
                  <v:imagedata r:id="rId39" o:title=""/>
                  <o:lock v:ext="edit" aspectratio="t"/>
                  <w10:wrap type="none"/>
                  <w10:anchorlock/>
                </v:shape>
                <o:OLEObject Type="Embed" ProgID="Visio.Drawing.15" ShapeID="_x0000_i1033" DrawAspect="Content" ObjectID="_1468075733" r:id="rId38">
                  <o:LockedField>false</o:LockedField>
                </o:OLEObject>
              </w:object>
            </w:r>
            <w:r>
              <w:rPr>
                <w:rFonts w:cs="宋体"/>
                <w:color w:val="auto"/>
                <w:kern w:val="0"/>
                <w:sz w:val="24"/>
                <w:highlight w:val="none"/>
              </w:rPr>
              <w:t xml:space="preserve"> —</w:t>
            </w:r>
            <w:r>
              <w:rPr>
                <w:rFonts w:cs="宋体"/>
                <w:color w:val="auto"/>
                <w:kern w:val="0"/>
                <w:sz w:val="24"/>
                <w:highlight w:val="none"/>
              </w:rPr>
              <w:object>
                <v:shape id="_x0000_i1034" o:spt="75" type="#_x0000_t75" style="height:12.9pt;width:7pt;" o:ole="t" filled="f" o:preferrelative="t" stroked="f" coordsize="21600,21600">
                  <v:path/>
                  <v:fill on="f" focussize="0,0"/>
                  <v:stroke on="f" joinstyle="miter"/>
                  <v:imagedata r:id="rId41" o:title=""/>
                  <o:lock v:ext="edit" aspectratio="t"/>
                  <w10:wrap type="none"/>
                  <w10:anchorlock/>
                </v:shape>
                <o:OLEObject Type="Embed" ProgID="Visio.Drawing.15" ShapeID="_x0000_i1034" DrawAspect="Content" ObjectID="_1468075734" r:id="rId40">
                  <o:LockedField>false</o:LockedField>
                </o:OLEObject>
              </w:object>
            </w:r>
            <w:r>
              <w:rPr>
                <w:rFonts w:cs="宋体"/>
                <w:color w:val="auto"/>
                <w:kern w:val="0"/>
                <w:sz w:val="24"/>
                <w:highlight w:val="none"/>
              </w:rPr>
              <w:t>声源在</w:t>
            </w:r>
            <w:r>
              <w:rPr>
                <w:rFonts w:cs="宋体"/>
                <w:color w:val="auto"/>
                <w:kern w:val="0"/>
                <w:sz w:val="24"/>
                <w:highlight w:val="none"/>
              </w:rPr>
              <w:object>
                <v:shape id="_x0000_i1035" o:spt="75" type="#_x0000_t75" style="height:12.9pt;width:10.75pt;" o:ole="t" filled="f" o:preferrelative="t" stroked="f" coordsize="21600,21600">
                  <v:path/>
                  <v:fill on="f" focussize="0,0"/>
                  <v:stroke on="f" joinstyle="miter"/>
                  <v:imagedata r:id="rId37" o:title=""/>
                  <o:lock v:ext="edit" aspectratio="t"/>
                  <w10:wrap type="none"/>
                  <w10:anchorlock/>
                </v:shape>
                <o:OLEObject Type="Embed" ProgID="Visio.Drawing.15" ShapeID="_x0000_i1035" DrawAspect="Content" ObjectID="_1468075735" r:id="rId42">
                  <o:LockedField>false</o:LockedField>
                </o:OLEObject>
              </w:object>
            </w:r>
            <w:r>
              <w:rPr>
                <w:rFonts w:cs="宋体"/>
                <w:color w:val="auto"/>
                <w:kern w:val="0"/>
                <w:sz w:val="24"/>
                <w:highlight w:val="none"/>
              </w:rPr>
              <w:t>时段内的运行时间，s。</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b.</w:t>
            </w:r>
            <w:r>
              <w:rPr>
                <w:rFonts w:cs="宋体"/>
                <w:color w:val="auto"/>
                <w:kern w:val="0"/>
                <w:sz w:val="24"/>
                <w:highlight w:val="none"/>
              </w:rPr>
              <w:t>预测点的预测等效声级(</w:t>
            </w:r>
            <w:r>
              <w:rPr>
                <w:rFonts w:cs="宋体"/>
                <w:color w:val="auto"/>
                <w:kern w:val="0"/>
                <w:sz w:val="24"/>
                <w:highlight w:val="none"/>
              </w:rPr>
              <w:object>
                <v:shape id="_x0000_i1036" o:spt="75" type="#_x0000_t75" style="height:18.8pt;width:17.2pt;" o:ole="t" filled="f" o:preferrelative="t" stroked="f" coordsize="21600,21600">
                  <v:path/>
                  <v:fill on="f" focussize="0,0"/>
                  <v:stroke on="f" joinstyle="miter"/>
                  <v:imagedata r:id="rId44" o:title=""/>
                  <o:lock v:ext="edit" aspectratio="t"/>
                  <w10:wrap type="none"/>
                  <w10:anchorlock/>
                </v:shape>
                <o:OLEObject Type="Embed" ProgID="Visio.Drawing.15" ShapeID="_x0000_i1036" DrawAspect="Content" ObjectID="_1468075736" r:id="rId43">
                  <o:LockedField>false</o:LockedField>
                </o:OLEObject>
              </w:object>
            </w:r>
            <w:r>
              <w:rPr>
                <w:rFonts w:cs="宋体"/>
                <w:color w:val="auto"/>
                <w:kern w:val="0"/>
                <w:sz w:val="24"/>
                <w:highlight w:val="none"/>
              </w:rPr>
              <w:t>)计算公式</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37" o:spt="75" type="#_x0000_t75" style="height:23.65pt;width:139.15pt;" o:ole="t" filled="f" o:preferrelative="t" stroked="f" coordsize="21600,21600">
                  <v:path/>
                  <v:fill on="f" focussize="0,0"/>
                  <v:stroke on="f" joinstyle="miter"/>
                  <v:imagedata r:id="rId46" o:title=""/>
                  <o:lock v:ext="edit" aspectratio="t"/>
                  <w10:wrap type="none"/>
                  <w10:anchorlock/>
                </v:shape>
                <o:OLEObject Type="Embed" ProgID="Visio.Drawing.15" ShapeID="_x0000_i1037" DrawAspect="Content" ObjectID="_1468075737" r:id="rId45">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式中：</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38" o:spt="75" type="#_x0000_t75" style="height:18.8pt;width:20.95pt;" o:ole="t" filled="f" o:preferrelative="t" stroked="f" coordsize="21600,21600">
                  <v:path/>
                  <v:fill on="f" focussize="0,0"/>
                  <v:stroke on="f" joinstyle="miter"/>
                  <v:imagedata r:id="rId48" o:title=""/>
                  <o:lock v:ext="edit" aspectratio="t"/>
                  <w10:wrap type="none"/>
                  <w10:anchorlock/>
                </v:shape>
                <o:OLEObject Type="Embed" ProgID="Visio.Drawing.15" ShapeID="_x0000_i1038" DrawAspect="Content" ObjectID="_1468075738" r:id="rId47">
                  <o:LockedField>false</o:LockedField>
                </o:OLEObject>
              </w:object>
            </w:r>
            <w:r>
              <w:rPr>
                <w:rFonts w:cs="宋体"/>
                <w:color w:val="auto"/>
                <w:kern w:val="0"/>
                <w:sz w:val="24"/>
                <w:highlight w:val="none"/>
              </w:rPr>
              <w:t xml:space="preserve"> —建设项目声源在预测点的等效声级贡献值，dB(A)；</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39" o:spt="75" type="#_x0000_t75" style="height:18.8pt;width:20.95pt;" o:ole="t" filled="f" o:preferrelative="t" stroked="f" coordsize="21600,21600">
                  <v:path/>
                  <v:fill on="f" focussize="0,0"/>
                  <v:stroke on="f" joinstyle="miter"/>
                  <v:imagedata r:id="rId50" o:title=""/>
                  <o:lock v:ext="edit" aspectratio="t"/>
                  <w10:wrap type="none"/>
                  <w10:anchorlock/>
                </v:shape>
                <o:OLEObject Type="Embed" ProgID="Visio.Drawing.15" ShapeID="_x0000_i1039" DrawAspect="Content" ObjectID="_1468075739" r:id="rId49">
                  <o:LockedField>false</o:LockedField>
                </o:OLEObject>
              </w:object>
            </w:r>
            <w:r>
              <w:rPr>
                <w:rFonts w:cs="宋体"/>
                <w:color w:val="auto"/>
                <w:kern w:val="0"/>
                <w:sz w:val="24"/>
                <w:highlight w:val="none"/>
              </w:rPr>
              <w:t xml:space="preserve"> — 预测点的背景值，dB(A)。</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c.</w:t>
            </w:r>
            <w:r>
              <w:rPr>
                <w:rFonts w:cs="宋体"/>
                <w:color w:val="auto"/>
                <w:kern w:val="0"/>
                <w:sz w:val="24"/>
                <w:highlight w:val="none"/>
              </w:rPr>
              <w:t>户外声传播衰减计算</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户外声传播衰减包括几何发散（</w:t>
            </w:r>
            <w:r>
              <w:rPr>
                <w:rFonts w:cs="宋体"/>
                <w:color w:val="auto"/>
                <w:kern w:val="0"/>
                <w:sz w:val="24"/>
                <w:highlight w:val="none"/>
              </w:rPr>
              <w:object>
                <v:shape id="_x0000_i1040" o:spt="75" type="#_x0000_t75" style="height:18.25pt;width:19.9pt;" o:ole="t" filled="f" o:preferrelative="t" stroked="f" coordsize="21600,21600">
                  <v:path/>
                  <v:fill on="f" focussize="0,0"/>
                  <v:stroke on="f" joinstyle="miter"/>
                  <v:imagedata r:id="rId52" o:title=""/>
                  <o:lock v:ext="edit" aspectratio="t"/>
                  <w10:wrap type="none"/>
                  <w10:anchorlock/>
                </v:shape>
                <o:OLEObject Type="Embed" ProgID="Visio.Drawing.15" ShapeID="_x0000_i1040" DrawAspect="Content" ObjectID="_1468075740" r:id="rId51">
                  <o:LockedField>false</o:LockedField>
                </o:OLEObject>
              </w:object>
            </w:r>
            <w:r>
              <w:rPr>
                <w:rFonts w:cs="宋体"/>
                <w:color w:val="auto"/>
                <w:kern w:val="0"/>
                <w:sz w:val="24"/>
                <w:highlight w:val="none"/>
              </w:rPr>
              <w:t>）、大气吸收（</w:t>
            </w:r>
            <w:r>
              <w:rPr>
                <w:rFonts w:cs="宋体"/>
                <w:color w:val="auto"/>
                <w:kern w:val="0"/>
                <w:sz w:val="24"/>
                <w:highlight w:val="none"/>
              </w:rPr>
              <w:object>
                <v:shape id="_x0000_i1041" o:spt="75" type="#_x0000_t75" style="height:18.25pt;width:21.5pt;" o:ole="t" filled="f" o:preferrelative="t" stroked="f" coordsize="21600,21600">
                  <v:path/>
                  <v:fill on="f" focussize="0,0"/>
                  <v:stroke on="f" joinstyle="miter"/>
                  <v:imagedata r:id="rId54" o:title=""/>
                  <o:lock v:ext="edit" aspectratio="t"/>
                  <w10:wrap type="none"/>
                  <w10:anchorlock/>
                </v:shape>
                <o:OLEObject Type="Embed" ProgID="Visio.Drawing.15" ShapeID="_x0000_i1041" DrawAspect="Content" ObjectID="_1468075741" r:id="rId53">
                  <o:LockedField>false</o:LockedField>
                </o:OLEObject>
              </w:object>
            </w:r>
            <w:r>
              <w:rPr>
                <w:rFonts w:cs="宋体"/>
                <w:color w:val="auto"/>
                <w:kern w:val="0"/>
                <w:sz w:val="24"/>
                <w:highlight w:val="none"/>
              </w:rPr>
              <w:t>）、地面效应（</w:t>
            </w:r>
            <w:r>
              <w:rPr>
                <w:rFonts w:cs="宋体"/>
                <w:color w:val="auto"/>
                <w:kern w:val="0"/>
                <w:sz w:val="24"/>
                <w:highlight w:val="none"/>
              </w:rPr>
              <w:object>
                <v:shape id="_x0000_i1042" o:spt="75" type="#_x0000_t75" style="height:18.8pt;width:18.25pt;" o:ole="t" filled="f" o:preferrelative="t" stroked="f" coordsize="21600,21600">
                  <v:path/>
                  <v:fill on="f" focussize="0,0"/>
                  <v:stroke on="f" joinstyle="miter"/>
                  <v:imagedata r:id="rId56" o:title=""/>
                  <o:lock v:ext="edit" aspectratio="t"/>
                  <w10:wrap type="none"/>
                  <w10:anchorlock/>
                </v:shape>
                <o:OLEObject Type="Embed" ProgID="Visio.Drawing.15" ShapeID="_x0000_i1042" DrawAspect="Content" ObjectID="_1468075742" r:id="rId55">
                  <o:LockedField>false</o:LockedField>
                </o:OLEObject>
              </w:object>
            </w:r>
            <w:r>
              <w:rPr>
                <w:rFonts w:cs="宋体"/>
                <w:color w:val="auto"/>
                <w:kern w:val="0"/>
                <w:sz w:val="24"/>
                <w:highlight w:val="none"/>
              </w:rPr>
              <w:t>）、屏障屏蔽（</w:t>
            </w:r>
            <w:r>
              <w:rPr>
                <w:rFonts w:cs="宋体"/>
                <w:color w:val="auto"/>
                <w:kern w:val="0"/>
                <w:sz w:val="24"/>
                <w:highlight w:val="none"/>
              </w:rPr>
              <w:object>
                <v:shape id="_x0000_i1043" o:spt="75" type="#_x0000_t75" style="height:18.25pt;width:20.95pt;" o:ole="t" filled="f" o:preferrelative="t" stroked="f" coordsize="21600,21600">
                  <v:path/>
                  <v:fill on="f" focussize="0,0"/>
                  <v:stroke on="f" joinstyle="miter"/>
                  <v:imagedata r:id="rId58" o:title=""/>
                  <o:lock v:ext="edit" aspectratio="t"/>
                  <w10:wrap type="none"/>
                  <w10:anchorlock/>
                </v:shape>
                <o:OLEObject Type="Embed" ProgID="Visio.Drawing.15" ShapeID="_x0000_i1043" DrawAspect="Content" ObjectID="_1468075743" r:id="rId57">
                  <o:LockedField>false</o:LockedField>
                </o:OLEObject>
              </w:object>
            </w:r>
            <w:r>
              <w:rPr>
                <w:rFonts w:cs="宋体"/>
                <w:color w:val="auto"/>
                <w:kern w:val="0"/>
                <w:sz w:val="24"/>
                <w:highlight w:val="none"/>
              </w:rPr>
              <w:t>）、其他多方面效应（</w:t>
            </w:r>
            <w:r>
              <w:rPr>
                <w:rFonts w:cs="宋体"/>
                <w:color w:val="auto"/>
                <w:kern w:val="0"/>
                <w:sz w:val="24"/>
                <w:highlight w:val="none"/>
              </w:rPr>
              <w:object>
                <v:shape id="_x0000_i1044" o:spt="75" type="#_x0000_t75" style="height:18.25pt;width:23.65pt;" o:ole="t" filled="f" o:preferrelative="t" stroked="f" coordsize="21600,21600">
                  <v:path/>
                  <v:fill on="f" focussize="0,0"/>
                  <v:stroke on="f" joinstyle="miter"/>
                  <v:imagedata r:id="rId60" o:title=""/>
                  <o:lock v:ext="edit" aspectratio="t"/>
                  <w10:wrap type="none"/>
                  <w10:anchorlock/>
                </v:shape>
                <o:OLEObject Type="Embed" ProgID="Visio.Drawing.15" ShapeID="_x0000_i1044" DrawAspect="Content" ObjectID="_1468075744" r:id="rId59">
                  <o:LockedField>false</o:LockedField>
                </o:OLEObject>
              </w:object>
            </w:r>
            <w:r>
              <w:rPr>
                <w:rFonts w:cs="宋体"/>
                <w:color w:val="auto"/>
                <w:kern w:val="0"/>
                <w:sz w:val="24"/>
                <w:highlight w:val="none"/>
              </w:rPr>
              <w:t>）引起的衰减。</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距声源点r处的A声级按下式计算：</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45" o:spt="75" type="#_x0000_t75" style="height:21.5pt;width:230.5pt;" o:ole="t" filled="f" o:preferrelative="t" stroked="f" coordsize="21600,21600">
                  <v:path/>
                  <v:fill on="f" focussize="0,0"/>
                  <v:stroke on="f" joinstyle="miter"/>
                  <v:imagedata r:id="rId62" o:title=""/>
                  <o:lock v:ext="edit" aspectratio="t"/>
                  <w10:wrap type="none"/>
                  <w10:anchorlock/>
                </v:shape>
                <o:OLEObject Type="Embed" ProgID="Visio.Drawing.15" ShapeID="_x0000_i1045" DrawAspect="Content" ObjectID="_1468075745" r:id="rId61">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在预测中考虑反射引起的修正、屏障引起的衰减、双绕射、室内声源等效室外声源等影响和计算方法。</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户外声传播衰减包括几何发散、大气吸收、地面效应、屏蔽屏障、其他多方面效应引起的衰减。</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d.</w:t>
            </w:r>
            <w:r>
              <w:rPr>
                <w:rFonts w:cs="宋体"/>
                <w:color w:val="auto"/>
                <w:kern w:val="0"/>
                <w:sz w:val="24"/>
                <w:highlight w:val="none"/>
              </w:rPr>
              <w:t>点源的几何发散衰减（</w:t>
            </w:r>
            <w:r>
              <w:rPr>
                <w:rFonts w:cs="宋体"/>
                <w:color w:val="auto"/>
                <w:kern w:val="0"/>
                <w:sz w:val="24"/>
                <w:highlight w:val="none"/>
              </w:rPr>
              <w:object>
                <v:shape id="_x0000_i1046" o:spt="75" type="#_x0000_t75" style="height:18.25pt;width:19.9pt;" o:ole="t" filled="f" o:preferrelative="t" stroked="f" coordsize="21600,21600">
                  <v:path/>
                  <v:fill on="f" focussize="0,0"/>
                  <v:stroke on="f" joinstyle="miter"/>
                  <v:imagedata r:id="rId64" o:title=""/>
                  <o:lock v:ext="edit" aspectratio="t"/>
                  <w10:wrap type="none"/>
                  <w10:anchorlock/>
                </v:shape>
                <o:OLEObject Type="Embed" ProgID="Visio.Drawing.15" ShapeID="_x0000_i1046" DrawAspect="Content" ObjectID="_1468075746" r:id="rId63">
                  <o:LockedField>false</o:LockedField>
                </o:OLEObject>
              </w:object>
            </w:r>
            <w:r>
              <w:rPr>
                <w:rFonts w:cs="宋体"/>
                <w:color w:val="auto"/>
                <w:kern w:val="0"/>
                <w:sz w:val="24"/>
                <w:highlight w:val="none"/>
              </w:rPr>
              <w:t>）</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47" o:spt="75" type="#_x0000_t75" style="height:19.9pt;width:138.1pt;" o:ole="t" filled="f" o:preferrelative="t" stroked="f" coordsize="21600,21600">
                  <v:path/>
                  <v:fill on="f" focussize="0,0"/>
                  <v:stroke on="f" joinstyle="miter"/>
                  <v:imagedata r:id="rId66" o:title=""/>
                  <o:lock v:ext="edit" aspectratio="t"/>
                  <w10:wrap type="none"/>
                  <w10:anchorlock/>
                </v:shape>
                <o:OLEObject Type="Embed" ProgID="Visio.Drawing.15" ShapeID="_x0000_i1047" DrawAspect="Content" ObjectID="_1468075747" r:id="rId65">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其中，</w:t>
            </w:r>
            <w:r>
              <w:rPr>
                <w:rFonts w:cs="宋体"/>
                <w:color w:val="auto"/>
                <w:kern w:val="0"/>
                <w:sz w:val="24"/>
                <w:highlight w:val="none"/>
              </w:rPr>
              <w:object>
                <v:shape id="_x0000_i1048" o:spt="75" type="#_x0000_t75" style="height:19.9pt;width:84.9pt;" o:ole="t" filled="f" o:preferrelative="t" stroked="f" coordsize="21600,21600">
                  <v:path/>
                  <v:fill on="f" focussize="0,0"/>
                  <v:stroke on="f" joinstyle="miter"/>
                  <v:imagedata r:id="rId68" o:title=""/>
                  <o:lock v:ext="edit" aspectratio="t"/>
                  <w10:wrap type="none"/>
                  <w10:anchorlock/>
                </v:shape>
                <o:OLEObject Type="Embed" ProgID="Visio.Drawing.15" ShapeID="_x0000_i1048" DrawAspect="Content" ObjectID="_1468075748" r:id="rId67">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e.面声源的几何发散衰减（</w:t>
            </w:r>
            <w:r>
              <w:rPr>
                <w:rFonts w:cs="宋体"/>
                <w:color w:val="auto"/>
                <w:kern w:val="0"/>
                <w:sz w:val="24"/>
                <w:highlight w:val="none"/>
              </w:rPr>
              <w:object>
                <v:shape id="_x0000_i1049" o:spt="75" type="#_x0000_t75" style="height:18.25pt;width:19.9pt;" o:ole="t" filled="f" o:preferrelative="t" stroked="f" coordsize="21600,21600">
                  <v:path/>
                  <v:fill on="f" focussize="0,0"/>
                  <v:stroke on="f" joinstyle="miter"/>
                  <v:imagedata r:id="rId64" o:title=""/>
                  <o:lock v:ext="edit" aspectratio="t"/>
                  <w10:wrap type="none"/>
                  <w10:anchorlock/>
                </v:shape>
                <o:OLEObject Type="Embed" ProgID="Visio.Drawing.15" ShapeID="_x0000_i1049" DrawAspect="Content" ObjectID="_1468075749" r:id="rId69">
                  <o:LockedField>false</o:LockedField>
                </o:OLEObject>
              </w:object>
            </w:r>
            <w:r>
              <w:rPr>
                <w:rFonts w:hint="eastAsia"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当预测点和面声源中心距离r处于以下条件时，可按下述方法近似计算：r＜a/π时，几乎不衰减（</w:t>
            </w:r>
            <w:r>
              <w:rPr>
                <w:rFonts w:cs="宋体"/>
                <w:color w:val="auto"/>
                <w:kern w:val="0"/>
                <w:sz w:val="24"/>
                <w:highlight w:val="none"/>
              </w:rPr>
              <w:object>
                <v:shape id="_x0000_i1050" o:spt="75" type="#_x0000_t75" style="height:18.25pt;width:19.9pt;" o:ole="t" filled="f" o:preferrelative="t" stroked="f" coordsize="21600,21600">
                  <v:path/>
                  <v:fill on="f" focussize="0,0"/>
                  <v:stroke on="f" joinstyle="miter"/>
                  <v:imagedata r:id="rId64" o:title=""/>
                  <o:lock v:ext="edit" aspectratio="t"/>
                  <w10:wrap type="none"/>
                  <w10:anchorlock/>
                </v:shape>
                <o:OLEObject Type="Embed" ProgID="Visio.Drawing.15" ShapeID="_x0000_i1050" DrawAspect="Content" ObjectID="_1468075750" r:id="rId70">
                  <o:LockedField>false</o:LockedField>
                </o:OLEObject>
              </w:object>
            </w:r>
            <w:r>
              <w:rPr>
                <w:rFonts w:hint="eastAsia" w:cs="宋体"/>
                <w:color w:val="auto"/>
                <w:kern w:val="0"/>
                <w:sz w:val="24"/>
                <w:highlight w:val="none"/>
              </w:rPr>
              <w:t>≈0）；当a/π＜r＜b/π，距离加倍衰减3dB左右，类似线声源衰减特性</w:t>
            </w:r>
            <w:bookmarkStart w:id="26" w:name="OLE_LINK12"/>
            <w:bookmarkStart w:id="27" w:name="OLE_LINK9"/>
            <w:r>
              <w:rPr>
                <w:rFonts w:hint="eastAsia" w:cs="宋体"/>
                <w:color w:val="auto"/>
                <w:kern w:val="0"/>
                <w:sz w:val="24"/>
                <w:highlight w:val="none"/>
              </w:rPr>
              <w:t>[</w:t>
            </w:r>
            <w:r>
              <w:rPr>
                <w:rFonts w:cs="宋体"/>
                <w:color w:val="auto"/>
                <w:kern w:val="0"/>
                <w:sz w:val="24"/>
                <w:highlight w:val="none"/>
              </w:rPr>
              <w:object>
                <v:shape id="_x0000_i1051" o:spt="75" type="#_x0000_t75" style="height:18.25pt;width:19.9pt;" o:ole="t" filled="f" o:preferrelative="t" stroked="f" coordsize="21600,21600">
                  <v:path/>
                  <v:fill on="f" focussize="0,0"/>
                  <v:stroke on="f" joinstyle="miter"/>
                  <v:imagedata r:id="rId64" o:title=""/>
                  <o:lock v:ext="edit" aspectratio="t"/>
                  <w10:wrap type="none"/>
                  <w10:anchorlock/>
                </v:shape>
                <o:OLEObject Type="Embed" ProgID="Visio.Drawing.15" ShapeID="_x0000_i1051" DrawAspect="Content" ObjectID="_1468075751" r:id="rId71">
                  <o:LockedField>false</o:LockedField>
                </o:OLEObject>
              </w:object>
            </w:r>
            <w:r>
              <w:rPr>
                <w:rFonts w:hint="eastAsia" w:cs="宋体"/>
                <w:color w:val="auto"/>
                <w:kern w:val="0"/>
                <w:sz w:val="24"/>
                <w:highlight w:val="none"/>
              </w:rPr>
              <w:t>≈10lg（r/r0）]</w:t>
            </w:r>
            <w:bookmarkEnd w:id="26"/>
            <w:bookmarkEnd w:id="27"/>
            <w:r>
              <w:rPr>
                <w:rFonts w:hint="eastAsia" w:cs="宋体"/>
                <w:color w:val="auto"/>
                <w:kern w:val="0"/>
                <w:sz w:val="24"/>
                <w:highlight w:val="none"/>
              </w:rPr>
              <w:t>；当r＞b/π时，距离加倍衰减趋近于6dB，类似点声源衰减特性[</w:t>
            </w:r>
            <w:r>
              <w:rPr>
                <w:rFonts w:cs="宋体"/>
                <w:color w:val="auto"/>
                <w:kern w:val="0"/>
                <w:sz w:val="24"/>
                <w:highlight w:val="none"/>
              </w:rPr>
              <w:object>
                <v:shape id="_x0000_i1052" o:spt="75" type="#_x0000_t75" style="height:18.25pt;width:19.9pt;" o:ole="t" filled="f" o:preferrelative="t" stroked="f" coordsize="21600,21600">
                  <v:path/>
                  <v:fill on="f" focussize="0,0"/>
                  <v:stroke on="f" joinstyle="miter"/>
                  <v:imagedata r:id="rId64" o:title=""/>
                  <o:lock v:ext="edit" aspectratio="t"/>
                  <w10:wrap type="none"/>
                  <w10:anchorlock/>
                </v:shape>
                <o:OLEObject Type="Embed" ProgID="Visio.Drawing.15" ShapeID="_x0000_i1052" DrawAspect="Content" ObjectID="_1468075752" r:id="rId72">
                  <o:LockedField>false</o:LockedField>
                </o:OLEObject>
              </w:object>
            </w:r>
            <w:r>
              <w:rPr>
                <w:rFonts w:hint="eastAsia" w:cs="宋体"/>
                <w:color w:val="auto"/>
                <w:kern w:val="0"/>
                <w:sz w:val="24"/>
                <w:highlight w:val="none"/>
              </w:rPr>
              <w:t>≈20lg（r/r0）]，其中面声源的b＞a。</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f.</w:t>
            </w:r>
            <w:r>
              <w:rPr>
                <w:rFonts w:cs="宋体"/>
                <w:color w:val="auto"/>
                <w:kern w:val="0"/>
                <w:sz w:val="24"/>
                <w:highlight w:val="none"/>
              </w:rPr>
              <w:t>空气吸收引起的衰减（</w:t>
            </w:r>
            <w:r>
              <w:rPr>
                <w:rFonts w:cs="宋体"/>
                <w:color w:val="auto"/>
                <w:kern w:val="0"/>
                <w:sz w:val="24"/>
                <w:highlight w:val="none"/>
              </w:rPr>
              <w:object>
                <v:shape id="_x0000_i1053" o:spt="75" type="#_x0000_t75" style="height:18.25pt;width:21.5pt;" o:ole="t" filled="f" o:preferrelative="t" stroked="f" coordsize="21600,21600">
                  <v:path/>
                  <v:fill on="f" focussize="0,0"/>
                  <v:stroke on="f" joinstyle="miter"/>
                  <v:imagedata r:id="rId74" o:title=""/>
                  <o:lock v:ext="edit" aspectratio="t"/>
                  <w10:wrap type="none"/>
                  <w10:anchorlock/>
                </v:shape>
                <o:OLEObject Type="Embed" ProgID="Visio.Drawing.15" ShapeID="_x0000_i1053" DrawAspect="Content" ObjectID="_1468075753" r:id="rId73">
                  <o:LockedField>false</o:LockedField>
                </o:OLEObject>
              </w:object>
            </w:r>
            <w:r>
              <w:rPr>
                <w:rFonts w:cs="宋体"/>
                <w:color w:val="auto"/>
                <w:kern w:val="0"/>
                <w:sz w:val="24"/>
                <w:highlight w:val="none"/>
              </w:rPr>
              <w:t>）</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54" o:spt="75" type="#_x0000_t75" style="height:33.3pt;width:80.05pt;" o:ole="t" filled="f" o:preferrelative="t" stroked="f" coordsize="21600,21600">
                  <v:path/>
                  <v:fill on="f" focussize="0,0"/>
                  <v:stroke on="f" joinstyle="miter"/>
                  <v:imagedata r:id="rId76" o:title=""/>
                  <o:lock v:ext="edit" aspectratio="t"/>
                  <w10:wrap type="none"/>
                  <w10:anchorlock/>
                </v:shape>
                <o:OLEObject Type="Embed" ProgID="Visio.Drawing.15" ShapeID="_x0000_i1054" DrawAspect="Content" ObjectID="_1468075754" r:id="rId75">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综合考虑拟建项目所在区域温度和湿度，本项目大气吸收衰减系数</w:t>
            </w:r>
            <w:r>
              <w:rPr>
                <w:rFonts w:cs="宋体"/>
                <w:color w:val="auto"/>
                <w:kern w:val="0"/>
                <w:sz w:val="24"/>
                <w:highlight w:val="none"/>
              </w:rPr>
              <w:object>
                <v:shape id="_x0000_i1055" o:spt="75" type="#_x0000_t75" style="height:10.75pt;width:12.35pt;" o:ole="t" filled="f" o:preferrelative="t" stroked="f" coordsize="21600,21600">
                  <v:path/>
                  <v:fill on="f" focussize="0,0"/>
                  <v:stroke on="f" joinstyle="miter"/>
                  <v:imagedata r:id="rId78" o:title=""/>
                  <o:lock v:ext="edit" aspectratio="t"/>
                  <w10:wrap type="none"/>
                  <w10:anchorlock/>
                </v:shape>
                <o:OLEObject Type="Embed" ProgID="Visio.Drawing.15" ShapeID="_x0000_i1055" DrawAspect="Content" ObjectID="_1468075755" r:id="rId77">
                  <o:LockedField>false</o:LockedField>
                </o:OLEObject>
              </w:object>
            </w:r>
            <w:r>
              <w:rPr>
                <w:rFonts w:hint="eastAsia" w:cs="宋体"/>
                <w:color w:val="auto"/>
                <w:kern w:val="0"/>
                <w:sz w:val="24"/>
                <w:highlight w:val="none"/>
              </w:rPr>
              <w:t>取：温度为20℃、相对湿度为70%对应的倍频带中心频率为1000Hz时的数值，即</w:t>
            </w:r>
            <w:r>
              <w:rPr>
                <w:rFonts w:cs="宋体"/>
                <w:color w:val="auto"/>
                <w:kern w:val="0"/>
                <w:sz w:val="24"/>
                <w:highlight w:val="none"/>
              </w:rPr>
              <w:object>
                <v:shape id="_x0000_i1056" o:spt="75" type="#_x0000_t75" style="height:10.75pt;width:12.35pt;" o:ole="t" filled="f" o:preferrelative="t" stroked="f" coordsize="21600,21600">
                  <v:path/>
                  <v:fill on="f" focussize="0,0"/>
                  <v:stroke on="f" joinstyle="miter"/>
                  <v:imagedata r:id="rId78" o:title=""/>
                  <o:lock v:ext="edit" aspectratio="t"/>
                  <w10:wrap type="none"/>
                  <w10:anchorlock/>
                </v:shape>
                <o:OLEObject Type="Embed" ProgID="Visio.Drawing.15" ShapeID="_x0000_i1056" DrawAspect="Content" ObjectID="_1468075756" r:id="rId79">
                  <o:LockedField>false</o:LockedField>
                </o:OLEObject>
              </w:object>
            </w:r>
            <w:r>
              <w:rPr>
                <w:rFonts w:hint="eastAsia" w:cs="宋体"/>
                <w:color w:val="auto"/>
                <w:kern w:val="0"/>
                <w:sz w:val="24"/>
                <w:highlight w:val="none"/>
              </w:rPr>
              <w:t>=5.0</w: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g.</w:t>
            </w:r>
            <w:r>
              <w:rPr>
                <w:rFonts w:cs="宋体"/>
                <w:color w:val="auto"/>
                <w:kern w:val="0"/>
                <w:sz w:val="24"/>
                <w:highlight w:val="none"/>
              </w:rPr>
              <w:t>地面效应（</w:t>
            </w:r>
            <w:r>
              <w:rPr>
                <w:rFonts w:cs="宋体"/>
                <w:color w:val="auto"/>
                <w:kern w:val="0"/>
                <w:sz w:val="24"/>
                <w:highlight w:val="none"/>
              </w:rPr>
              <w:object>
                <v:shape id="_x0000_i1057" o:spt="75" type="#_x0000_t75" style="height:18.8pt;width:18.25pt;" o:ole="t" filled="f" o:preferrelative="t" stroked="f" coordsize="21600,21600">
                  <v:path/>
                  <v:fill on="f" focussize="0,0"/>
                  <v:stroke on="f" joinstyle="miter"/>
                  <v:imagedata r:id="rId81" o:title=""/>
                  <o:lock v:ext="edit" aspectratio="t"/>
                  <w10:wrap type="none"/>
                  <w10:anchorlock/>
                </v:shape>
                <o:OLEObject Type="Embed" ProgID="Visio.Drawing.15" ShapeID="_x0000_i1057" DrawAspect="Content" ObjectID="_1468075757" r:id="rId80">
                  <o:LockedField>false</o:LockedField>
                </o:OLEObject>
              </w:objec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58" o:spt="75" type="#_x0000_t75" style="height:21.5pt;width:152.6pt;" o:ole="t" filled="f" o:preferrelative="t" stroked="f" coordsize="21600,21600">
                  <v:path/>
                  <v:fill on="f" focussize="0,0"/>
                  <v:stroke on="f" joinstyle="miter"/>
                  <v:imagedata r:id="rId83" o:title=""/>
                  <o:lock v:ext="edit" aspectratio="t"/>
                  <w10:wrap type="none"/>
                  <w10:anchorlock/>
                </v:shape>
                <o:OLEObject Type="Embed" ProgID="Visio.Drawing.15" ShapeID="_x0000_i1058" DrawAspect="Content" ObjectID="_1468075758" r:id="rId82">
                  <o:LockedField>false</o:LockedField>
                </o:OLEObject>
              </w:object>
            </w:r>
            <w:r>
              <w:rPr>
                <w:rFonts w:cs="宋体"/>
                <w:color w:val="auto"/>
                <w:kern w:val="0"/>
                <w:sz w:val="24"/>
                <w:highlight w:val="none"/>
              </w:rPr>
              <w:t>（适用于疏松地面或大部分为疏松的混合地面）</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式中：</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59" o:spt="75" type="#_x0000_t75" style="height:10.2pt;width:8.6pt;" o:ole="t" filled="f" o:preferrelative="t" stroked="f" coordsize="21600,21600">
                  <v:path/>
                  <v:fill on="f" focussize="0,0"/>
                  <v:stroke on="f" joinstyle="miter"/>
                  <v:imagedata r:id="rId85" o:title=""/>
                  <o:lock v:ext="edit" aspectratio="t"/>
                  <w10:wrap type="none"/>
                  <w10:anchorlock/>
                </v:shape>
                <o:OLEObject Type="Embed" ProgID="Visio.Drawing.15" ShapeID="_x0000_i1059" DrawAspect="Content" ObjectID="_1468075759" r:id="rId84">
                  <o:LockedField>false</o:LockedField>
                </o:OLEObject>
              </w:object>
            </w:r>
            <w:r>
              <w:rPr>
                <w:rFonts w:cs="宋体"/>
                <w:color w:val="auto"/>
                <w:kern w:val="0"/>
                <w:sz w:val="24"/>
                <w:highlight w:val="none"/>
              </w:rPr>
              <w:t>—声源到预测点的距离，m；</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60" o:spt="75" type="#_x0000_t75" style="height:18.25pt;width:14.5pt;" o:ole="t" filled="f" o:preferrelative="t" stroked="f" coordsize="21600,21600">
                  <v:path/>
                  <v:fill on="f" focussize="0,0"/>
                  <v:stroke on="f" joinstyle="miter"/>
                  <v:imagedata r:id="rId87" o:title=""/>
                  <o:lock v:ext="edit" aspectratio="t"/>
                  <w10:wrap type="none"/>
                  <w10:anchorlock/>
                </v:shape>
                <o:OLEObject Type="Embed" ProgID="Visio.Drawing.15" ShapeID="_x0000_i1060" DrawAspect="Content" ObjectID="_1468075760" r:id="rId86">
                  <o:LockedField>false</o:LockedField>
                </o:OLEObject>
              </w:object>
            </w:r>
            <w:r>
              <w:rPr>
                <w:rFonts w:cs="宋体"/>
                <w:color w:val="auto"/>
                <w:kern w:val="0"/>
                <w:sz w:val="24"/>
                <w:highlight w:val="none"/>
              </w:rPr>
              <w:t>—传播途径的平均离地高度，m；可按导则图5进行计算，</w:t>
            </w:r>
            <w:r>
              <w:rPr>
                <w:rFonts w:cs="宋体"/>
                <w:color w:val="auto"/>
                <w:kern w:val="0"/>
                <w:sz w:val="24"/>
                <w:highlight w:val="none"/>
              </w:rPr>
              <w:object>
                <v:shape id="_x0000_i1061" o:spt="75" type="#_x0000_t75" style="height:18.25pt;width:46.75pt;" o:ole="t" filled="f" o:preferrelative="t" stroked="f" coordsize="21600,21600">
                  <v:path/>
                  <v:fill on="f" focussize="0,0"/>
                  <v:stroke on="f" joinstyle="miter"/>
                  <v:imagedata r:id="rId89" o:title=""/>
                  <o:lock v:ext="edit" aspectratio="t"/>
                  <w10:wrap type="none"/>
                  <w10:anchorlock/>
                </v:shape>
                <o:OLEObject Type="Embed" ProgID="Visio.Drawing.15" ShapeID="_x0000_i1061" DrawAspect="Content" ObjectID="_1468075761" r:id="rId88">
                  <o:LockedField>false</o:LockedField>
                </o:OLEObject>
              </w:object>
            </w:r>
            <w:r>
              <w:rPr>
                <w:rFonts w:cs="宋体"/>
                <w:color w:val="auto"/>
                <w:kern w:val="0"/>
                <w:sz w:val="24"/>
                <w:highlight w:val="none"/>
              </w:rPr>
              <w:t>；</w:t>
            </w:r>
            <w:r>
              <w:rPr>
                <w:rFonts w:cs="宋体"/>
                <w:color w:val="auto"/>
                <w:kern w:val="0"/>
                <w:sz w:val="24"/>
                <w:highlight w:val="none"/>
              </w:rPr>
              <w:object>
                <v:shape id="_x0000_i1062" o:spt="75" type="#_x0000_t75" style="height:12.9pt;width:12.9pt;" o:ole="t" filled="f" o:preferrelative="t" stroked="f" coordsize="21600,21600">
                  <v:path/>
                  <v:fill on="f" focussize="0,0"/>
                  <v:stroke on="f" joinstyle="miter"/>
                  <v:imagedata r:id="rId91" o:title=""/>
                  <o:lock v:ext="edit" aspectratio="t"/>
                  <w10:wrap type="none"/>
                  <w10:anchorlock/>
                </v:shape>
                <o:OLEObject Type="Embed" ProgID="Visio.Drawing.15" ShapeID="_x0000_i1062" DrawAspect="Content" ObjectID="_1468075762" r:id="rId90">
                  <o:LockedField>false</o:LockedField>
                </o:OLEObject>
              </w:object>
            </w:r>
            <w:r>
              <w:rPr>
                <w:rFonts w:cs="宋体"/>
                <w:color w:val="auto"/>
                <w:kern w:val="0"/>
                <w:sz w:val="24"/>
                <w:highlight w:val="none"/>
              </w:rPr>
              <w:t>是面积（m</w:t>
            </w:r>
            <w:r>
              <w:rPr>
                <w:rFonts w:cs="宋体"/>
                <w:color w:val="auto"/>
                <w:kern w:val="0"/>
                <w:sz w:val="24"/>
                <w:highlight w:val="none"/>
                <w:vertAlign w:val="superscript"/>
              </w:rPr>
              <w:t>2</w: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若</w:t>
            </w:r>
            <w:r>
              <w:rPr>
                <w:rFonts w:cs="宋体"/>
                <w:color w:val="auto"/>
                <w:kern w:val="0"/>
                <w:sz w:val="24"/>
                <w:highlight w:val="none"/>
              </w:rPr>
              <w:object>
                <v:shape id="_x0000_i1063" o:spt="75" type="#_x0000_t75" style="height:18.8pt;width:18.25pt;" o:ole="t" filled="f" o:preferrelative="t" stroked="f" coordsize="21600,21600">
                  <v:path/>
                  <v:fill on="f" focussize="0,0"/>
                  <v:stroke on="f" joinstyle="miter"/>
                  <v:imagedata r:id="rId93" o:title=""/>
                  <o:lock v:ext="edit" aspectratio="t"/>
                  <w10:wrap type="none"/>
                  <w10:anchorlock/>
                </v:shape>
                <o:OLEObject Type="Embed" ProgID="Visio.Drawing.15" ShapeID="_x0000_i1063" DrawAspect="Content" ObjectID="_1468075763" r:id="rId92">
                  <o:LockedField>false</o:LockedField>
                </o:OLEObject>
              </w:object>
            </w:r>
            <w:r>
              <w:rPr>
                <w:rFonts w:cs="宋体"/>
                <w:color w:val="auto"/>
                <w:kern w:val="0"/>
                <w:sz w:val="24"/>
                <w:highlight w:val="none"/>
              </w:rPr>
              <w:t>计算出负值，则用零替代。</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其他情况参照GB/T17247.2进行计算。</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本项目所在</w:t>
            </w:r>
            <w:r>
              <w:rPr>
                <w:rFonts w:hint="eastAsia" w:cs="宋体"/>
                <w:color w:val="auto"/>
                <w:kern w:val="0"/>
                <w:sz w:val="24"/>
                <w:highlight w:val="none"/>
              </w:rPr>
              <w:t>厂区</w:t>
            </w:r>
            <w:r>
              <w:rPr>
                <w:rFonts w:cs="宋体"/>
                <w:color w:val="auto"/>
                <w:kern w:val="0"/>
                <w:sz w:val="24"/>
                <w:highlight w:val="none"/>
              </w:rPr>
              <w:t>为坚实地面，根据GB/T17247.2可知坚实地面的地面因子G取0，则计算公式如下：</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64" o:spt="75" type="#_x0000_t75" style="height:18.8pt;width:89.2pt;" o:ole="t" filled="f" o:preferrelative="t" stroked="f" coordsize="21600,21600">
                  <v:path/>
                  <v:fill on="f" focussize="0,0"/>
                  <v:stroke on="f" joinstyle="miter"/>
                  <v:imagedata r:id="rId95" o:title=""/>
                  <o:lock v:ext="edit" aspectratio="t"/>
                  <w10:wrap type="none"/>
                  <w10:anchorlock/>
                </v:shape>
                <o:OLEObject Type="Embed" ProgID="Visio.Drawing.15" ShapeID="_x0000_i1064" DrawAspect="Content" ObjectID="_1468075764" r:id="rId94">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h.</w:t>
            </w:r>
            <w:r>
              <w:rPr>
                <w:rFonts w:cs="宋体"/>
                <w:color w:val="auto"/>
                <w:kern w:val="0"/>
                <w:sz w:val="24"/>
                <w:highlight w:val="none"/>
              </w:rPr>
              <w:t>屏障引起的衰减（</w:t>
            </w:r>
            <w:r>
              <w:rPr>
                <w:rFonts w:cs="宋体"/>
                <w:color w:val="auto"/>
                <w:kern w:val="0"/>
                <w:sz w:val="24"/>
                <w:highlight w:val="none"/>
              </w:rPr>
              <w:object>
                <v:shape id="_x0000_i1065" o:spt="75" type="#_x0000_t75" style="height:18.25pt;width:20.95pt;" o:ole="t" filled="f" o:preferrelative="t" stroked="f" coordsize="21600,21600">
                  <v:path/>
                  <v:fill on="f" focussize="0,0"/>
                  <v:stroke on="f" joinstyle="miter"/>
                  <v:imagedata r:id="rId97" o:title=""/>
                  <o:lock v:ext="edit" aspectratio="t"/>
                  <w10:wrap type="none"/>
                  <w10:anchorlock/>
                </v:shape>
                <o:OLEObject Type="Embed" ProgID="Visio.Drawing.15" ShapeID="_x0000_i1065" DrawAspect="Content" ObjectID="_1468075765" r:id="rId96">
                  <o:LockedField>false</o:LockedField>
                </o:OLEObject>
              </w:object>
            </w:r>
            <w:r>
              <w:rPr>
                <w:rFonts w:cs="宋体"/>
                <w:color w:val="auto"/>
                <w:kern w:val="0"/>
                <w:sz w:val="24"/>
                <w:highlight w:val="none"/>
              </w:rPr>
              <w:t>r）</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66" o:spt="75" type="#_x0000_t75" style="height:38.15pt;width:228.35pt;" o:ole="t" filled="f" o:preferrelative="t" stroked="f" coordsize="21600,21600">
                  <v:path/>
                  <v:fill on="f" focussize="0,0"/>
                  <v:stroke on="f" joinstyle="miter"/>
                  <v:imagedata r:id="rId99" o:title=""/>
                  <o:lock v:ext="edit" aspectratio="t"/>
                  <w10:wrap type="none"/>
                  <w10:anchorlock/>
                </v:shape>
                <o:OLEObject Type="Embed" ProgID="Visio.Drawing.15" ShapeID="_x0000_i1066" DrawAspect="Content" ObjectID="_1468075766" r:id="rId98">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当屏障很长（作无限长处理）时，</w:t>
            </w:r>
          </w:p>
          <w:p>
            <w:pPr>
              <w:tabs>
                <w:tab w:val="left" w:pos="1980"/>
                <w:tab w:val="left" w:pos="3825"/>
                <w:tab w:val="left" w:pos="4680"/>
              </w:tabs>
              <w:spacing w:line="360" w:lineRule="auto"/>
              <w:jc w:val="center"/>
              <w:rPr>
                <w:rFonts w:cs="宋体"/>
                <w:color w:val="auto"/>
                <w:kern w:val="0"/>
                <w:sz w:val="24"/>
                <w:highlight w:val="none"/>
              </w:rPr>
            </w:pPr>
            <w:r>
              <w:rPr>
                <w:rFonts w:cs="宋体"/>
                <w:color w:val="auto"/>
                <w:kern w:val="0"/>
                <w:sz w:val="24"/>
                <w:highlight w:val="none"/>
              </w:rPr>
              <w:object>
                <v:shape id="_x0000_i1067" o:spt="75" type="#_x0000_t75" style="height:38.15pt;width:118.75pt;" o:ole="t" filled="f" o:preferrelative="t" stroked="f" coordsize="21600,21600">
                  <v:path/>
                  <v:fill on="f" focussize="0,0"/>
                  <v:stroke on="f" joinstyle="miter"/>
                  <v:imagedata r:id="rId101" o:title=""/>
                  <o:lock v:ext="edit" aspectratio="t"/>
                  <w10:wrap type="none"/>
                  <w10:anchorlock/>
                </v:shape>
                <o:OLEObject Type="Embed" ProgID="Visio.Drawing.15" ShapeID="_x0000_i1067" DrawAspect="Content" ObjectID="_1468075767" r:id="rId100">
                  <o:LockedField>false</o:LockedField>
                </o:OLEObject>
              </w:objec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object>
                <v:shape id="_x0000_i1068" o:spt="75" type="#_x0000_t75" style="height:17.2pt;width:52.1pt;" o:ole="t" filled="f" o:preferrelative="t" stroked="f" coordsize="21600,21600">
                  <v:path/>
                  <v:fill on="f" focussize="0,0"/>
                  <v:stroke on="f" joinstyle="miter"/>
                  <v:imagedata r:id="rId103" o:title=""/>
                  <o:lock v:ext="edit" aspectratio="t"/>
                  <w10:wrap type="none"/>
                  <w10:anchorlock/>
                </v:shape>
                <o:OLEObject Type="Embed" ProgID="Visio.Drawing.15" ShapeID="_x0000_i1068" DrawAspect="Content" ObjectID="_1468075768" r:id="rId102">
                  <o:LockedField>false</o:LockedField>
                </o:OLEObject>
              </w:objec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式中：</w:t>
            </w:r>
            <w:r>
              <w:rPr>
                <w:rFonts w:cs="宋体"/>
                <w:color w:val="auto"/>
                <w:kern w:val="0"/>
                <w:sz w:val="24"/>
                <w:highlight w:val="none"/>
              </w:rPr>
              <w:object>
                <v:shape id="_x0000_i1069" o:spt="75" type="#_x0000_t75" style="height:14.5pt;width:14.5pt;" o:ole="t" filled="f" o:preferrelative="t" stroked="f" coordsize="21600,21600">
                  <v:path/>
                  <v:fill on="f" focussize="0,0"/>
                  <v:stroke on="f" joinstyle="miter"/>
                  <v:imagedata r:id="rId105" o:title=""/>
                  <o:lock v:ext="edit" aspectratio="t"/>
                  <w10:wrap type="none"/>
                  <w10:anchorlock/>
                </v:shape>
                <o:OLEObject Type="Embed" ProgID="Visio.Drawing.15" ShapeID="_x0000_i1069" DrawAspect="Content" ObjectID="_1468075769" r:id="rId104">
                  <o:LockedField>false</o:LockedField>
                </o:OLEObject>
              </w:object>
            </w:r>
            <w:r>
              <w:rPr>
                <w:rFonts w:hint="eastAsia" w:cs="宋体"/>
                <w:color w:val="auto"/>
                <w:kern w:val="0"/>
                <w:sz w:val="24"/>
                <w:highlight w:val="none"/>
              </w:rPr>
              <w:t xml:space="preserve"> </w:t>
            </w:r>
            <w:r>
              <w:rPr>
                <w:rFonts w:cs="宋体"/>
                <w:color w:val="auto"/>
                <w:kern w:val="0"/>
                <w:sz w:val="24"/>
                <w:highlight w:val="none"/>
              </w:rPr>
              <w:t>——菲涅尔数，</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70" o:spt="75" type="#_x0000_t75" style="height:14.5pt;width:10.75pt;" o:ole="t" filled="f" o:preferrelative="t" stroked="f" coordsize="21600,21600">
                  <v:path/>
                  <v:fill on="f" focussize="0,0"/>
                  <v:stroke on="f" joinstyle="miter"/>
                  <v:imagedata r:id="rId107" o:title=""/>
                  <o:lock v:ext="edit" aspectratio="t"/>
                  <w10:wrap type="none"/>
                  <w10:anchorlock/>
                </v:shape>
                <o:OLEObject Type="Embed" ProgID="Visio.Drawing.15" ShapeID="_x0000_i1070" DrawAspect="Content" ObjectID="_1468075770" r:id="rId106">
                  <o:LockedField>false</o:LockedField>
                </o:OLEObject>
              </w:object>
            </w:r>
            <w:r>
              <w:rPr>
                <w:rFonts w:cs="宋体"/>
                <w:color w:val="auto"/>
                <w:kern w:val="0"/>
                <w:sz w:val="24"/>
                <w:highlight w:val="none"/>
              </w:rPr>
              <w:t>——声程差</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 xml:space="preserve">      </w:t>
            </w:r>
            <w:r>
              <w:rPr>
                <w:rFonts w:cs="宋体"/>
                <w:color w:val="auto"/>
                <w:kern w:val="0"/>
                <w:sz w:val="24"/>
                <w:highlight w:val="none"/>
              </w:rPr>
              <w:object>
                <v:shape id="_x0000_i1071" o:spt="75" type="#_x0000_t75" style="height:14.5pt;width:10.75pt;" o:ole="t" filled="f" o:preferrelative="t" stroked="f" coordsize="21600,21600">
                  <v:path/>
                  <v:fill on="f" focussize="0,0"/>
                  <v:stroke on="f" joinstyle="miter"/>
                  <v:imagedata r:id="rId109" o:title=""/>
                  <o:lock v:ext="edit" aspectratio="t"/>
                  <w10:wrap type="none"/>
                  <w10:anchorlock/>
                </v:shape>
                <o:OLEObject Type="Embed" ProgID="Visio.Drawing.15" ShapeID="_x0000_i1071" DrawAspect="Content" ObjectID="_1468075771" r:id="rId108">
                  <o:LockedField>false</o:LockedField>
                </o:OLEObject>
              </w:object>
            </w:r>
            <w:r>
              <w:rPr>
                <w:rFonts w:cs="宋体"/>
                <w:color w:val="auto"/>
                <w:kern w:val="0"/>
                <w:sz w:val="24"/>
                <w:highlight w:val="none"/>
              </w:rPr>
              <w:t>——声波波长，本处为0.340（</w:t>
            </w:r>
            <w:r>
              <w:rPr>
                <w:rFonts w:cs="宋体"/>
                <w:color w:val="auto"/>
                <w:kern w:val="0"/>
                <w:sz w:val="24"/>
                <w:highlight w:val="none"/>
              </w:rPr>
              <w:object>
                <v:shape id="_x0000_i1072" o:spt="75" type="#_x0000_t75" style="height:33.3pt;width:33.3pt;" o:ole="t" filled="f" o:preferrelative="t" stroked="f" coordsize="21600,21600">
                  <v:path/>
                  <v:fill on="f" focussize="0,0"/>
                  <v:stroke on="f" joinstyle="miter"/>
                  <v:imagedata r:id="rId111" o:title=""/>
                  <o:lock v:ext="edit" aspectratio="t"/>
                  <w10:wrap type="none"/>
                  <w10:anchorlock/>
                </v:shape>
                <o:OLEObject Type="Embed" ProgID="Visio.Drawing.15" ShapeID="_x0000_i1072" DrawAspect="Content" ObjectID="_1468075772" r:id="rId110">
                  <o:LockedField>false</o:LockedField>
                </o:OLEObject>
              </w:objec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hint="eastAsia" w:cs="宋体"/>
                <w:color w:val="auto"/>
                <w:kern w:val="0"/>
                <w:sz w:val="24"/>
                <w:highlight w:val="none"/>
              </w:rPr>
              <w:t>j.</w:t>
            </w:r>
            <w:r>
              <w:rPr>
                <w:rFonts w:cs="宋体"/>
                <w:color w:val="auto"/>
                <w:kern w:val="0"/>
                <w:sz w:val="24"/>
                <w:highlight w:val="none"/>
              </w:rPr>
              <w:t>其他多方面原因引起的衰减（</w:t>
            </w:r>
            <w:r>
              <w:rPr>
                <w:rFonts w:cs="宋体"/>
                <w:color w:val="auto"/>
                <w:kern w:val="0"/>
                <w:sz w:val="24"/>
                <w:highlight w:val="none"/>
              </w:rPr>
              <w:object>
                <v:shape id="_x0000_i1073" o:spt="75" type="#_x0000_t75" style="height:18.25pt;width:23.65pt;" o:ole="t" filled="f" o:preferrelative="t" stroked="f" coordsize="21600,21600">
                  <v:path/>
                  <v:fill on="f" focussize="0,0"/>
                  <v:stroke on="f" joinstyle="miter"/>
                  <v:imagedata r:id="rId60" o:title=""/>
                  <o:lock v:ext="edit" aspectratio="t"/>
                  <w10:wrap type="none"/>
                  <w10:anchorlock/>
                </v:shape>
                <o:OLEObject Type="Embed" ProgID="Visio.Drawing.15" ShapeID="_x0000_i1073" DrawAspect="Content" ObjectID="_1468075773" r:id="rId112">
                  <o:LockedField>false</o:LockedField>
                </o:OLEObject>
              </w:object>
            </w:r>
            <w:r>
              <w:rPr>
                <w:rFonts w:cs="宋体"/>
                <w:color w:val="auto"/>
                <w:kern w:val="0"/>
                <w:sz w:val="24"/>
                <w:highlight w:val="none"/>
              </w:rPr>
              <w:t>）</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t>包括通过工业场所、房屋群的衰减，参照GB/T17247.2进行计算。主要包括如下：</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object>
                <v:shape id="_x0000_i1074" o:spt="75" type="#_x0000_t75" style="height:18.8pt;width:19.9pt;" o:ole="t" filled="f" o:preferrelative="t" stroked="f" coordsize="21600,21600">
                  <v:path/>
                  <v:fill on="f" focussize="0,0"/>
                  <v:stroke on="f" joinstyle="miter"/>
                  <v:imagedata r:id="rId114" o:title=""/>
                  <o:lock v:ext="edit" aspectratio="t"/>
                  <w10:wrap type="none"/>
                  <w10:anchorlock/>
                </v:shape>
                <o:OLEObject Type="Embed" ProgID="Visio.Drawing.15" ShapeID="_x0000_i1074" DrawAspect="Content" ObjectID="_1468075774" r:id="rId113">
                  <o:LockedField>false</o:LockedField>
                </o:OLEObject>
              </w:object>
            </w:r>
            <w:r>
              <w:rPr>
                <w:rFonts w:cs="宋体"/>
                <w:color w:val="auto"/>
                <w:kern w:val="0"/>
                <w:sz w:val="24"/>
                <w:highlight w:val="none"/>
              </w:rPr>
              <w:t>，通过树叶的传播衰减；本处衰减系数为零。</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object>
                <v:shape id="_x0000_i1075" o:spt="75" type="#_x0000_t75" style="height:18.25pt;width:20.95pt;" o:ole="t" filled="f" o:preferrelative="t" stroked="f" coordsize="21600,21600">
                  <v:path/>
                  <v:fill on="f" focussize="0,0"/>
                  <v:stroke on="f" joinstyle="miter"/>
                  <v:imagedata r:id="rId116" o:title=""/>
                  <o:lock v:ext="edit" aspectratio="t"/>
                  <w10:wrap type="none"/>
                  <w10:anchorlock/>
                </v:shape>
                <o:OLEObject Type="Embed" ProgID="Visio.Drawing.15" ShapeID="_x0000_i1075" DrawAspect="Content" ObjectID="_1468075775" r:id="rId115">
                  <o:LockedField>false</o:LockedField>
                </o:OLEObject>
              </w:object>
            </w:r>
            <w:r>
              <w:rPr>
                <w:rFonts w:cs="宋体"/>
                <w:color w:val="auto"/>
                <w:kern w:val="0"/>
                <w:sz w:val="24"/>
                <w:highlight w:val="none"/>
              </w:rPr>
              <w:t>，通过工业场所的传播衰减；查GB/T17247.2-1998表A2可知，本处衰减系数为0.02dB/m。</w:t>
            </w:r>
          </w:p>
          <w:p>
            <w:pPr>
              <w:tabs>
                <w:tab w:val="left" w:pos="1980"/>
                <w:tab w:val="left" w:pos="3825"/>
                <w:tab w:val="left" w:pos="4680"/>
              </w:tabs>
              <w:spacing w:line="360" w:lineRule="auto"/>
              <w:ind w:firstLine="480" w:firstLineChars="200"/>
              <w:jc w:val="left"/>
              <w:rPr>
                <w:rFonts w:cs="宋体"/>
                <w:color w:val="auto"/>
                <w:kern w:val="0"/>
                <w:sz w:val="24"/>
                <w:highlight w:val="none"/>
              </w:rPr>
            </w:pPr>
            <w:r>
              <w:rPr>
                <w:rFonts w:cs="宋体"/>
                <w:color w:val="auto"/>
                <w:kern w:val="0"/>
                <w:sz w:val="24"/>
                <w:highlight w:val="none"/>
              </w:rPr>
              <w:object>
                <v:shape id="_x0000_i1076" o:spt="75" type="#_x0000_t75" style="height:18.25pt;width:27.95pt;" o:ole="t" filled="f" o:preferrelative="t" stroked="f" coordsize="21600,21600">
                  <v:path/>
                  <v:fill on="f" focussize="0,0"/>
                  <v:stroke on="f" joinstyle="miter"/>
                  <v:imagedata r:id="rId118" o:title=""/>
                  <o:lock v:ext="edit" aspectratio="t"/>
                  <w10:wrap type="none"/>
                  <w10:anchorlock/>
                </v:shape>
                <o:OLEObject Type="Embed" ProgID="Visio.Drawing.15" ShapeID="_x0000_i1076" DrawAspect="Content" ObjectID="_1468075776" r:id="rId117">
                  <o:LockedField>false</o:LockedField>
                </o:OLEObject>
              </w:object>
            </w:r>
            <w:r>
              <w:rPr>
                <w:rFonts w:cs="宋体"/>
                <w:color w:val="auto"/>
                <w:kern w:val="0"/>
                <w:sz w:val="24"/>
                <w:highlight w:val="none"/>
              </w:rPr>
              <w:t>，通过房屋群区的传播衰减。本处衰减系数为零。</w:t>
            </w:r>
          </w:p>
          <w:p>
            <w:pPr>
              <w:spacing w:line="360" w:lineRule="auto"/>
              <w:ind w:firstLine="480" w:firstLineChars="200"/>
              <w:rPr>
                <w:color w:val="auto"/>
                <w:sz w:val="24"/>
                <w:highlight w:val="none"/>
              </w:rPr>
            </w:pPr>
            <w:r>
              <w:rPr>
                <w:color w:val="auto"/>
                <w:sz w:val="24"/>
                <w:highlight w:val="none"/>
              </w:rPr>
              <w:t>本项目运营后，项目对于厂界的噪声</w:t>
            </w:r>
            <w:r>
              <w:rPr>
                <w:rFonts w:hint="eastAsia"/>
                <w:color w:val="auto"/>
                <w:sz w:val="24"/>
                <w:highlight w:val="none"/>
              </w:rPr>
              <w:t>预测</w:t>
            </w:r>
            <w:r>
              <w:rPr>
                <w:color w:val="auto"/>
                <w:sz w:val="24"/>
                <w:highlight w:val="none"/>
              </w:rPr>
              <w:t>值见表4.</w:t>
            </w:r>
            <w:r>
              <w:rPr>
                <w:rFonts w:hint="eastAsia"/>
                <w:color w:val="auto"/>
                <w:sz w:val="24"/>
                <w:highlight w:val="none"/>
              </w:rPr>
              <w:t>2</w:t>
            </w:r>
            <w:r>
              <w:rPr>
                <w:color w:val="auto"/>
                <w:sz w:val="24"/>
                <w:highlight w:val="none"/>
              </w:rPr>
              <w:t>.</w:t>
            </w:r>
            <w:r>
              <w:rPr>
                <w:rFonts w:hint="eastAsia"/>
                <w:color w:val="auto"/>
                <w:sz w:val="24"/>
                <w:highlight w:val="none"/>
              </w:rPr>
              <w:t>2</w:t>
            </w:r>
            <w:r>
              <w:rPr>
                <w:rFonts w:hint="eastAsia"/>
                <w:color w:val="auto"/>
                <w:sz w:val="24"/>
                <w:highlight w:val="none"/>
                <w:lang w:val="en-US" w:eastAsia="zh-CN"/>
              </w:rPr>
              <w:t>5</w:t>
            </w:r>
            <w:r>
              <w:rPr>
                <w:color w:val="auto"/>
                <w:sz w:val="24"/>
                <w:highlight w:val="none"/>
              </w:rPr>
              <w:t>。</w:t>
            </w:r>
          </w:p>
          <w:p>
            <w:pPr>
              <w:adjustRightInd w:val="0"/>
              <w:jc w:val="center"/>
              <w:outlineLvl w:val="4"/>
              <w:rPr>
                <w:rFonts w:eastAsia="黑体"/>
                <w:b/>
                <w:color w:val="auto"/>
                <w:sz w:val="24"/>
                <w:highlight w:val="none"/>
              </w:rPr>
            </w:pPr>
            <w:r>
              <w:rPr>
                <w:rFonts w:eastAsia="黑体"/>
                <w:b/>
                <w:color w:val="auto"/>
                <w:sz w:val="24"/>
                <w:highlight w:val="none"/>
              </w:rPr>
              <w:t>表4.</w:t>
            </w:r>
            <w:r>
              <w:rPr>
                <w:rFonts w:hint="eastAsia" w:eastAsia="黑体"/>
                <w:b/>
                <w:color w:val="auto"/>
                <w:sz w:val="24"/>
                <w:highlight w:val="none"/>
              </w:rPr>
              <w:t>2</w:t>
            </w:r>
            <w:r>
              <w:rPr>
                <w:rFonts w:eastAsia="黑体"/>
                <w:b/>
                <w:color w:val="auto"/>
                <w:sz w:val="24"/>
                <w:highlight w:val="none"/>
              </w:rPr>
              <w:t>.</w:t>
            </w:r>
            <w:r>
              <w:rPr>
                <w:rFonts w:hint="eastAsia" w:eastAsia="黑体"/>
                <w:b/>
                <w:color w:val="auto"/>
                <w:sz w:val="24"/>
                <w:highlight w:val="none"/>
              </w:rPr>
              <w:t>2</w:t>
            </w:r>
            <w:r>
              <w:rPr>
                <w:rFonts w:hint="eastAsia" w:eastAsia="黑体"/>
                <w:b/>
                <w:color w:val="auto"/>
                <w:sz w:val="24"/>
                <w:highlight w:val="none"/>
                <w:lang w:val="en-US" w:eastAsia="zh-CN"/>
              </w:rPr>
              <w:t>5</w:t>
            </w:r>
            <w:r>
              <w:rPr>
                <w:rFonts w:hint="eastAsia" w:eastAsia="黑体"/>
                <w:b/>
                <w:color w:val="auto"/>
                <w:sz w:val="24"/>
                <w:highlight w:val="none"/>
              </w:rPr>
              <w:t xml:space="preserve"> </w:t>
            </w:r>
            <w:r>
              <w:rPr>
                <w:rFonts w:eastAsia="黑体"/>
                <w:b/>
                <w:color w:val="auto"/>
                <w:sz w:val="24"/>
                <w:highlight w:val="none"/>
              </w:rPr>
              <w:t xml:space="preserve"> 厂界噪声预测结果  单位：dB（A）</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9"/>
              <w:gridCol w:w="2059"/>
              <w:gridCol w:w="1165"/>
              <w:gridCol w:w="1171"/>
              <w:gridCol w:w="1343"/>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84" w:type="pct"/>
                  <w:vMerge w:val="restart"/>
                  <w:vAlign w:val="center"/>
                </w:tcPr>
                <w:p>
                  <w:pPr>
                    <w:adjustRightInd w:val="0"/>
                    <w:snapToGrid w:val="0"/>
                    <w:jc w:val="center"/>
                    <w:rPr>
                      <w:snapToGrid w:val="0"/>
                      <w:color w:val="auto"/>
                      <w:szCs w:val="21"/>
                      <w:highlight w:val="none"/>
                    </w:rPr>
                  </w:pPr>
                  <w:r>
                    <w:rPr>
                      <w:snapToGrid w:val="0"/>
                      <w:color w:val="auto"/>
                      <w:szCs w:val="21"/>
                      <w:highlight w:val="none"/>
                    </w:rPr>
                    <w:t>位置</w:t>
                  </w:r>
                </w:p>
              </w:tc>
              <w:tc>
                <w:tcPr>
                  <w:tcW w:w="1108" w:type="pct"/>
                  <w:vMerge w:val="restart"/>
                  <w:vAlign w:val="center"/>
                </w:tcPr>
                <w:p>
                  <w:pPr>
                    <w:adjustRightInd w:val="0"/>
                    <w:snapToGrid w:val="0"/>
                    <w:jc w:val="center"/>
                    <w:rPr>
                      <w:snapToGrid w:val="0"/>
                      <w:color w:val="auto"/>
                      <w:szCs w:val="21"/>
                      <w:highlight w:val="none"/>
                    </w:rPr>
                  </w:pPr>
                  <w:r>
                    <w:rPr>
                      <w:snapToGrid w:val="0"/>
                      <w:color w:val="auto"/>
                      <w:szCs w:val="21"/>
                      <w:highlight w:val="none"/>
                    </w:rPr>
                    <w:t>噪声贡献值</w:t>
                  </w:r>
                </w:p>
              </w:tc>
              <w:tc>
                <w:tcPr>
                  <w:tcW w:w="1257" w:type="pct"/>
                  <w:gridSpan w:val="2"/>
                  <w:vAlign w:val="center"/>
                </w:tcPr>
                <w:p>
                  <w:pPr>
                    <w:adjustRightInd w:val="0"/>
                    <w:snapToGrid w:val="0"/>
                    <w:jc w:val="center"/>
                    <w:rPr>
                      <w:snapToGrid w:val="0"/>
                      <w:color w:val="auto"/>
                      <w:szCs w:val="21"/>
                      <w:highlight w:val="none"/>
                    </w:rPr>
                  </w:pPr>
                  <w:r>
                    <w:rPr>
                      <w:rFonts w:hint="eastAsia"/>
                      <w:snapToGrid w:val="0"/>
                      <w:color w:val="auto"/>
                      <w:szCs w:val="21"/>
                      <w:highlight w:val="none"/>
                    </w:rPr>
                    <w:t>标准值</w:t>
                  </w:r>
                </w:p>
              </w:tc>
              <w:tc>
                <w:tcPr>
                  <w:tcW w:w="1450" w:type="pct"/>
                  <w:gridSpan w:val="2"/>
                  <w:vAlign w:val="center"/>
                </w:tcPr>
                <w:p>
                  <w:pPr>
                    <w:adjustRightInd w:val="0"/>
                    <w:snapToGrid w:val="0"/>
                    <w:jc w:val="center"/>
                    <w:rPr>
                      <w:snapToGrid w:val="0"/>
                      <w:color w:val="auto"/>
                      <w:szCs w:val="21"/>
                      <w:highlight w:val="none"/>
                    </w:rPr>
                  </w:pPr>
                  <w:r>
                    <w:rPr>
                      <w:snapToGrid w:val="0"/>
                      <w:color w:val="auto"/>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blHeader/>
                <w:jc w:val="center"/>
              </w:trPr>
              <w:tc>
                <w:tcPr>
                  <w:tcW w:w="1184" w:type="pct"/>
                  <w:vMerge w:val="continue"/>
                  <w:vAlign w:val="center"/>
                </w:tcPr>
                <w:p>
                  <w:pPr>
                    <w:adjustRightInd w:val="0"/>
                    <w:snapToGrid w:val="0"/>
                    <w:jc w:val="center"/>
                    <w:rPr>
                      <w:snapToGrid w:val="0"/>
                      <w:color w:val="auto"/>
                      <w:szCs w:val="21"/>
                      <w:highlight w:val="none"/>
                    </w:rPr>
                  </w:pPr>
                </w:p>
              </w:tc>
              <w:tc>
                <w:tcPr>
                  <w:tcW w:w="1108" w:type="pct"/>
                  <w:vMerge w:val="continue"/>
                  <w:vAlign w:val="center"/>
                </w:tcPr>
                <w:p>
                  <w:pPr>
                    <w:adjustRightInd w:val="0"/>
                    <w:snapToGrid w:val="0"/>
                    <w:jc w:val="center"/>
                    <w:rPr>
                      <w:snapToGrid w:val="0"/>
                      <w:color w:val="auto"/>
                      <w:szCs w:val="21"/>
                      <w:highlight w:val="none"/>
                    </w:rPr>
                  </w:pPr>
                </w:p>
              </w:tc>
              <w:tc>
                <w:tcPr>
                  <w:tcW w:w="627" w:type="pct"/>
                  <w:vAlign w:val="center"/>
                </w:tcPr>
                <w:p>
                  <w:pPr>
                    <w:adjustRightInd w:val="0"/>
                    <w:snapToGrid w:val="0"/>
                    <w:jc w:val="center"/>
                    <w:rPr>
                      <w:snapToGrid w:val="0"/>
                      <w:color w:val="auto"/>
                      <w:szCs w:val="21"/>
                      <w:highlight w:val="none"/>
                    </w:rPr>
                  </w:pPr>
                  <w:r>
                    <w:rPr>
                      <w:snapToGrid w:val="0"/>
                      <w:color w:val="auto"/>
                      <w:szCs w:val="21"/>
                      <w:highlight w:val="none"/>
                    </w:rPr>
                    <w:t>昼间</w:t>
                  </w:r>
                </w:p>
              </w:tc>
              <w:tc>
                <w:tcPr>
                  <w:tcW w:w="629" w:type="pct"/>
                  <w:vAlign w:val="center"/>
                </w:tcPr>
                <w:p>
                  <w:pPr>
                    <w:adjustRightInd w:val="0"/>
                    <w:snapToGrid w:val="0"/>
                    <w:jc w:val="center"/>
                    <w:rPr>
                      <w:snapToGrid w:val="0"/>
                      <w:color w:val="auto"/>
                      <w:szCs w:val="21"/>
                      <w:highlight w:val="none"/>
                    </w:rPr>
                  </w:pPr>
                  <w:r>
                    <w:rPr>
                      <w:snapToGrid w:val="0"/>
                      <w:color w:val="auto"/>
                      <w:szCs w:val="21"/>
                      <w:highlight w:val="none"/>
                    </w:rPr>
                    <w:t>夜间</w:t>
                  </w:r>
                </w:p>
              </w:tc>
              <w:tc>
                <w:tcPr>
                  <w:tcW w:w="723" w:type="pct"/>
                  <w:vAlign w:val="center"/>
                </w:tcPr>
                <w:p>
                  <w:pPr>
                    <w:adjustRightInd w:val="0"/>
                    <w:snapToGrid w:val="0"/>
                    <w:jc w:val="center"/>
                    <w:rPr>
                      <w:snapToGrid w:val="0"/>
                      <w:color w:val="auto"/>
                      <w:szCs w:val="21"/>
                      <w:highlight w:val="none"/>
                    </w:rPr>
                  </w:pPr>
                  <w:r>
                    <w:rPr>
                      <w:snapToGrid w:val="0"/>
                      <w:color w:val="auto"/>
                      <w:szCs w:val="21"/>
                      <w:highlight w:val="none"/>
                    </w:rPr>
                    <w:t>昼间</w:t>
                  </w:r>
                </w:p>
              </w:tc>
              <w:tc>
                <w:tcPr>
                  <w:tcW w:w="727" w:type="pct"/>
                  <w:vAlign w:val="center"/>
                </w:tcPr>
                <w:p>
                  <w:pPr>
                    <w:adjustRightInd w:val="0"/>
                    <w:snapToGrid w:val="0"/>
                    <w:jc w:val="center"/>
                    <w:rPr>
                      <w:snapToGrid w:val="0"/>
                      <w:color w:val="auto"/>
                      <w:szCs w:val="21"/>
                      <w:highlight w:val="none"/>
                    </w:rPr>
                  </w:pPr>
                  <w:r>
                    <w:rPr>
                      <w:snapToGrid w:val="0"/>
                      <w:color w:val="auto"/>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84" w:type="pct"/>
                  <w:vAlign w:val="center"/>
                </w:tcPr>
                <w:p>
                  <w:pPr>
                    <w:adjustRightInd w:val="0"/>
                    <w:snapToGrid w:val="0"/>
                    <w:jc w:val="center"/>
                    <w:rPr>
                      <w:snapToGrid w:val="0"/>
                      <w:color w:val="auto"/>
                      <w:szCs w:val="21"/>
                      <w:highlight w:val="none"/>
                    </w:rPr>
                  </w:pPr>
                  <w:r>
                    <w:rPr>
                      <w:snapToGrid w:val="0"/>
                      <w:color w:val="auto"/>
                      <w:szCs w:val="21"/>
                      <w:highlight w:val="none"/>
                    </w:rPr>
                    <w:t>东厂界</w:t>
                  </w:r>
                </w:p>
              </w:tc>
              <w:tc>
                <w:tcPr>
                  <w:tcW w:w="2045" w:type="dxa"/>
                  <w:vAlign w:val="center"/>
                </w:tcPr>
                <w:p>
                  <w:pPr>
                    <w:widowControl/>
                    <w:jc w:val="center"/>
                    <w:textAlignment w:val="center"/>
                    <w:rPr>
                      <w:color w:val="auto"/>
                      <w:highlight w:val="none"/>
                    </w:rPr>
                  </w:pPr>
                  <w:r>
                    <w:rPr>
                      <w:rFonts w:hint="eastAsia"/>
                      <w:color w:val="auto"/>
                      <w:highlight w:val="none"/>
                    </w:rPr>
                    <w:t>3</w:t>
                  </w:r>
                  <w:r>
                    <w:rPr>
                      <w:color w:val="auto"/>
                      <w:highlight w:val="none"/>
                    </w:rPr>
                    <w:t>1.4</w:t>
                  </w:r>
                </w:p>
              </w:tc>
              <w:tc>
                <w:tcPr>
                  <w:tcW w:w="627" w:type="pct"/>
                  <w:vAlign w:val="center"/>
                </w:tcPr>
                <w:p>
                  <w:pPr>
                    <w:widowControl/>
                    <w:jc w:val="center"/>
                    <w:textAlignment w:val="center"/>
                    <w:rPr>
                      <w:color w:val="auto"/>
                      <w:highlight w:val="none"/>
                    </w:rPr>
                  </w:pPr>
                  <w:r>
                    <w:rPr>
                      <w:rFonts w:hint="eastAsia"/>
                      <w:color w:val="auto"/>
                      <w:highlight w:val="none"/>
                    </w:rPr>
                    <w:t>65</w:t>
                  </w:r>
                </w:p>
              </w:tc>
              <w:tc>
                <w:tcPr>
                  <w:tcW w:w="629" w:type="pct"/>
                  <w:vAlign w:val="center"/>
                </w:tcPr>
                <w:p>
                  <w:pPr>
                    <w:widowControl/>
                    <w:jc w:val="center"/>
                    <w:textAlignment w:val="center"/>
                    <w:rPr>
                      <w:color w:val="auto"/>
                      <w:highlight w:val="none"/>
                    </w:rPr>
                  </w:pPr>
                  <w:r>
                    <w:rPr>
                      <w:rFonts w:hint="eastAsia"/>
                      <w:color w:val="auto"/>
                      <w:highlight w:val="none"/>
                    </w:rPr>
                    <w:t>55</w:t>
                  </w:r>
                </w:p>
              </w:tc>
              <w:tc>
                <w:tcPr>
                  <w:tcW w:w="723"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c>
                <w:tcPr>
                  <w:tcW w:w="727"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84" w:type="pct"/>
                  <w:vAlign w:val="center"/>
                </w:tcPr>
                <w:p>
                  <w:pPr>
                    <w:adjustRightInd w:val="0"/>
                    <w:snapToGrid w:val="0"/>
                    <w:jc w:val="center"/>
                    <w:rPr>
                      <w:snapToGrid w:val="0"/>
                      <w:color w:val="auto"/>
                      <w:szCs w:val="21"/>
                      <w:highlight w:val="none"/>
                    </w:rPr>
                  </w:pPr>
                  <w:r>
                    <w:rPr>
                      <w:rFonts w:hint="eastAsia"/>
                      <w:snapToGrid w:val="0"/>
                      <w:color w:val="auto"/>
                      <w:szCs w:val="21"/>
                      <w:highlight w:val="none"/>
                    </w:rPr>
                    <w:t>南</w:t>
                  </w:r>
                  <w:r>
                    <w:rPr>
                      <w:snapToGrid w:val="0"/>
                      <w:color w:val="auto"/>
                      <w:szCs w:val="21"/>
                      <w:highlight w:val="none"/>
                    </w:rPr>
                    <w:t>厂界</w:t>
                  </w:r>
                </w:p>
              </w:tc>
              <w:tc>
                <w:tcPr>
                  <w:tcW w:w="2045" w:type="dxa"/>
                  <w:vAlign w:val="center"/>
                </w:tcPr>
                <w:p>
                  <w:pPr>
                    <w:widowControl/>
                    <w:jc w:val="center"/>
                    <w:textAlignment w:val="center"/>
                    <w:rPr>
                      <w:color w:val="auto"/>
                      <w:highlight w:val="none"/>
                    </w:rPr>
                  </w:pPr>
                  <w:r>
                    <w:rPr>
                      <w:rFonts w:hint="eastAsia"/>
                      <w:color w:val="auto"/>
                      <w:highlight w:val="none"/>
                    </w:rPr>
                    <w:t>4</w:t>
                  </w:r>
                  <w:r>
                    <w:rPr>
                      <w:color w:val="auto"/>
                      <w:highlight w:val="none"/>
                    </w:rPr>
                    <w:t>3.5</w:t>
                  </w:r>
                </w:p>
              </w:tc>
              <w:tc>
                <w:tcPr>
                  <w:tcW w:w="1102" w:type="dxa"/>
                  <w:vAlign w:val="center"/>
                </w:tcPr>
                <w:p>
                  <w:pPr>
                    <w:widowControl/>
                    <w:jc w:val="center"/>
                    <w:textAlignment w:val="center"/>
                    <w:rPr>
                      <w:color w:val="auto"/>
                      <w:highlight w:val="none"/>
                    </w:rPr>
                  </w:pPr>
                  <w:r>
                    <w:rPr>
                      <w:rFonts w:hint="eastAsia"/>
                      <w:color w:val="auto"/>
                      <w:highlight w:val="none"/>
                    </w:rPr>
                    <w:t>65</w:t>
                  </w:r>
                </w:p>
              </w:tc>
              <w:tc>
                <w:tcPr>
                  <w:tcW w:w="1107" w:type="dxa"/>
                  <w:vAlign w:val="center"/>
                </w:tcPr>
                <w:p>
                  <w:pPr>
                    <w:widowControl/>
                    <w:jc w:val="center"/>
                    <w:textAlignment w:val="center"/>
                    <w:rPr>
                      <w:color w:val="auto"/>
                      <w:highlight w:val="none"/>
                    </w:rPr>
                  </w:pPr>
                  <w:r>
                    <w:rPr>
                      <w:rFonts w:hint="eastAsia"/>
                      <w:color w:val="auto"/>
                      <w:highlight w:val="none"/>
                    </w:rPr>
                    <w:t>55</w:t>
                  </w:r>
                </w:p>
              </w:tc>
              <w:tc>
                <w:tcPr>
                  <w:tcW w:w="723"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c>
                <w:tcPr>
                  <w:tcW w:w="727"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84" w:type="pct"/>
                  <w:vAlign w:val="center"/>
                </w:tcPr>
                <w:p>
                  <w:pPr>
                    <w:adjustRightInd w:val="0"/>
                    <w:snapToGrid w:val="0"/>
                    <w:jc w:val="center"/>
                    <w:rPr>
                      <w:snapToGrid w:val="0"/>
                      <w:color w:val="auto"/>
                      <w:szCs w:val="21"/>
                      <w:highlight w:val="none"/>
                    </w:rPr>
                  </w:pPr>
                  <w:r>
                    <w:rPr>
                      <w:snapToGrid w:val="0"/>
                      <w:color w:val="auto"/>
                      <w:szCs w:val="21"/>
                      <w:highlight w:val="none"/>
                    </w:rPr>
                    <w:t>西厂界</w:t>
                  </w:r>
                </w:p>
              </w:tc>
              <w:tc>
                <w:tcPr>
                  <w:tcW w:w="2045" w:type="dxa"/>
                  <w:vAlign w:val="center"/>
                </w:tcPr>
                <w:p>
                  <w:pPr>
                    <w:widowControl/>
                    <w:jc w:val="center"/>
                    <w:textAlignment w:val="center"/>
                    <w:rPr>
                      <w:rFonts w:hint="eastAsia" w:eastAsia="宋体"/>
                      <w:color w:val="auto"/>
                      <w:highlight w:val="none"/>
                      <w:lang w:eastAsia="zh-CN"/>
                    </w:rPr>
                  </w:pPr>
                  <w:r>
                    <w:rPr>
                      <w:rFonts w:hint="eastAsia"/>
                      <w:color w:val="auto"/>
                      <w:highlight w:val="none"/>
                    </w:rPr>
                    <w:t>4</w:t>
                  </w:r>
                  <w:r>
                    <w:rPr>
                      <w:color w:val="auto"/>
                      <w:highlight w:val="none"/>
                    </w:rPr>
                    <w:t>5.</w:t>
                  </w:r>
                  <w:r>
                    <w:rPr>
                      <w:rFonts w:hint="eastAsia"/>
                      <w:color w:val="auto"/>
                      <w:highlight w:val="none"/>
                      <w:lang w:val="en-US" w:eastAsia="zh-CN"/>
                    </w:rPr>
                    <w:t>2</w:t>
                  </w:r>
                </w:p>
              </w:tc>
              <w:tc>
                <w:tcPr>
                  <w:tcW w:w="1102" w:type="dxa"/>
                  <w:vAlign w:val="center"/>
                </w:tcPr>
                <w:p>
                  <w:pPr>
                    <w:widowControl/>
                    <w:jc w:val="center"/>
                    <w:textAlignment w:val="center"/>
                    <w:rPr>
                      <w:color w:val="auto"/>
                      <w:highlight w:val="none"/>
                    </w:rPr>
                  </w:pPr>
                  <w:r>
                    <w:rPr>
                      <w:rFonts w:hint="eastAsia"/>
                      <w:color w:val="auto"/>
                      <w:highlight w:val="none"/>
                    </w:rPr>
                    <w:t>65</w:t>
                  </w:r>
                </w:p>
              </w:tc>
              <w:tc>
                <w:tcPr>
                  <w:tcW w:w="1107" w:type="dxa"/>
                  <w:vAlign w:val="center"/>
                </w:tcPr>
                <w:p>
                  <w:pPr>
                    <w:widowControl/>
                    <w:jc w:val="center"/>
                    <w:textAlignment w:val="center"/>
                    <w:rPr>
                      <w:color w:val="auto"/>
                      <w:highlight w:val="none"/>
                    </w:rPr>
                  </w:pPr>
                  <w:r>
                    <w:rPr>
                      <w:rFonts w:hint="eastAsia"/>
                      <w:color w:val="auto"/>
                      <w:highlight w:val="none"/>
                    </w:rPr>
                    <w:t>55</w:t>
                  </w:r>
                </w:p>
              </w:tc>
              <w:tc>
                <w:tcPr>
                  <w:tcW w:w="723"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c>
                <w:tcPr>
                  <w:tcW w:w="727"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84" w:type="pct"/>
                  <w:vAlign w:val="center"/>
                </w:tcPr>
                <w:p>
                  <w:pPr>
                    <w:adjustRightInd w:val="0"/>
                    <w:snapToGrid w:val="0"/>
                    <w:jc w:val="center"/>
                    <w:rPr>
                      <w:snapToGrid w:val="0"/>
                      <w:color w:val="auto"/>
                      <w:szCs w:val="21"/>
                      <w:highlight w:val="none"/>
                    </w:rPr>
                  </w:pPr>
                  <w:r>
                    <w:rPr>
                      <w:rFonts w:hint="eastAsia"/>
                      <w:snapToGrid w:val="0"/>
                      <w:color w:val="auto"/>
                      <w:szCs w:val="21"/>
                      <w:highlight w:val="none"/>
                    </w:rPr>
                    <w:t>北</w:t>
                  </w:r>
                  <w:r>
                    <w:rPr>
                      <w:snapToGrid w:val="0"/>
                      <w:color w:val="auto"/>
                      <w:szCs w:val="21"/>
                      <w:highlight w:val="none"/>
                    </w:rPr>
                    <w:t>厂界</w:t>
                  </w:r>
                </w:p>
              </w:tc>
              <w:tc>
                <w:tcPr>
                  <w:tcW w:w="2045" w:type="dxa"/>
                  <w:vAlign w:val="center"/>
                </w:tcPr>
                <w:p>
                  <w:pPr>
                    <w:widowControl/>
                    <w:jc w:val="center"/>
                    <w:textAlignment w:val="center"/>
                    <w:rPr>
                      <w:color w:val="auto"/>
                      <w:highlight w:val="none"/>
                    </w:rPr>
                  </w:pPr>
                  <w:r>
                    <w:rPr>
                      <w:rFonts w:hint="eastAsia"/>
                      <w:color w:val="auto"/>
                      <w:highlight w:val="none"/>
                    </w:rPr>
                    <w:t>3</w:t>
                  </w:r>
                  <w:r>
                    <w:rPr>
                      <w:color w:val="auto"/>
                      <w:highlight w:val="none"/>
                    </w:rPr>
                    <w:t>8.8</w:t>
                  </w:r>
                </w:p>
              </w:tc>
              <w:tc>
                <w:tcPr>
                  <w:tcW w:w="1102" w:type="dxa"/>
                  <w:vAlign w:val="center"/>
                </w:tcPr>
                <w:p>
                  <w:pPr>
                    <w:widowControl/>
                    <w:jc w:val="center"/>
                    <w:textAlignment w:val="center"/>
                    <w:rPr>
                      <w:color w:val="auto"/>
                      <w:highlight w:val="none"/>
                    </w:rPr>
                  </w:pPr>
                  <w:r>
                    <w:rPr>
                      <w:rFonts w:hint="eastAsia"/>
                      <w:color w:val="auto"/>
                      <w:highlight w:val="none"/>
                    </w:rPr>
                    <w:t>65</w:t>
                  </w:r>
                </w:p>
              </w:tc>
              <w:tc>
                <w:tcPr>
                  <w:tcW w:w="1107" w:type="dxa"/>
                  <w:vAlign w:val="center"/>
                </w:tcPr>
                <w:p>
                  <w:pPr>
                    <w:widowControl/>
                    <w:jc w:val="center"/>
                    <w:textAlignment w:val="center"/>
                    <w:rPr>
                      <w:color w:val="auto"/>
                      <w:highlight w:val="none"/>
                    </w:rPr>
                  </w:pPr>
                  <w:r>
                    <w:rPr>
                      <w:rFonts w:hint="eastAsia"/>
                      <w:color w:val="auto"/>
                      <w:highlight w:val="none"/>
                    </w:rPr>
                    <w:t>55</w:t>
                  </w:r>
                </w:p>
              </w:tc>
              <w:tc>
                <w:tcPr>
                  <w:tcW w:w="723"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c>
                <w:tcPr>
                  <w:tcW w:w="727" w:type="pct"/>
                  <w:vAlign w:val="center"/>
                </w:tcPr>
                <w:p>
                  <w:pPr>
                    <w:adjustRightInd w:val="0"/>
                    <w:snapToGrid w:val="0"/>
                    <w:jc w:val="center"/>
                    <w:rPr>
                      <w:snapToGrid w:val="0"/>
                      <w:color w:val="auto"/>
                      <w:szCs w:val="21"/>
                      <w:highlight w:val="none"/>
                    </w:rPr>
                  </w:pPr>
                  <w:r>
                    <w:rPr>
                      <w:snapToGrid w:val="0"/>
                      <w:color w:val="auto"/>
                      <w:szCs w:val="21"/>
                      <w:highlight w:val="none"/>
                    </w:rPr>
                    <w:t>达标</w:t>
                  </w:r>
                </w:p>
              </w:tc>
            </w:tr>
          </w:tbl>
          <w:p>
            <w:pPr>
              <w:pStyle w:val="60"/>
              <w:rPr>
                <w:color w:val="auto"/>
                <w:sz w:val="18"/>
                <w:szCs w:val="18"/>
                <w:highlight w:val="none"/>
                <w:lang w:eastAsia="zh-CN"/>
              </w:rPr>
            </w:pPr>
            <w:r>
              <w:rPr>
                <w:color w:val="auto"/>
                <w:sz w:val="18"/>
                <w:szCs w:val="18"/>
                <w:highlight w:val="none"/>
                <w:lang w:eastAsia="zh-CN"/>
              </w:rPr>
              <w:t>注：厂界执行《工业企业厂界环境噪声排放标准》（GB12348-2008）</w:t>
            </w:r>
            <w:r>
              <w:rPr>
                <w:rFonts w:hint="eastAsia"/>
                <w:color w:val="auto"/>
                <w:sz w:val="18"/>
                <w:szCs w:val="18"/>
                <w:highlight w:val="none"/>
                <w:lang w:eastAsia="zh-CN"/>
              </w:rPr>
              <w:t>3</w:t>
            </w:r>
            <w:r>
              <w:rPr>
                <w:color w:val="auto"/>
                <w:sz w:val="18"/>
                <w:szCs w:val="18"/>
                <w:highlight w:val="none"/>
                <w:lang w:eastAsia="zh-CN"/>
              </w:rPr>
              <w:t>类标准。</w:t>
            </w:r>
          </w:p>
          <w:p>
            <w:pPr>
              <w:adjustRightInd w:val="0"/>
              <w:jc w:val="center"/>
              <w:outlineLvl w:val="4"/>
              <w:rPr>
                <w:rFonts w:eastAsia="黑体"/>
                <w:b/>
                <w:color w:val="auto"/>
                <w:sz w:val="24"/>
                <w:szCs w:val="21"/>
                <w:highlight w:val="none"/>
              </w:rPr>
            </w:pPr>
          </w:p>
          <w:p>
            <w:pPr>
              <w:adjustRightInd w:val="0"/>
              <w:jc w:val="center"/>
              <w:outlineLvl w:val="4"/>
              <w:rPr>
                <w:rFonts w:eastAsia="黑体"/>
                <w:b/>
                <w:color w:val="auto"/>
                <w:sz w:val="24"/>
                <w:highlight w:val="none"/>
              </w:rPr>
            </w:pPr>
            <w:r>
              <w:rPr>
                <w:color w:val="auto"/>
                <w:highlight w:val="none"/>
              </w:rPr>
              <w:drawing>
                <wp:inline distT="0" distB="0" distL="0" distR="0">
                  <wp:extent cx="5904230" cy="3190875"/>
                  <wp:effectExtent l="0" t="0" r="127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19"/>
                          <a:stretch>
                            <a:fillRect/>
                          </a:stretch>
                        </pic:blipFill>
                        <pic:spPr>
                          <a:xfrm>
                            <a:off x="0" y="0"/>
                            <a:ext cx="5904230" cy="3190875"/>
                          </a:xfrm>
                          <a:prstGeom prst="rect">
                            <a:avLst/>
                          </a:prstGeom>
                        </pic:spPr>
                      </pic:pic>
                    </a:graphicData>
                  </a:graphic>
                </wp:inline>
              </w:drawing>
            </w:r>
          </w:p>
          <w:p>
            <w:pPr>
              <w:adjustRightInd w:val="0"/>
              <w:jc w:val="center"/>
              <w:outlineLvl w:val="4"/>
              <w:rPr>
                <w:rFonts w:eastAsia="黑体"/>
                <w:b/>
                <w:color w:val="auto"/>
                <w:sz w:val="24"/>
                <w:highlight w:val="none"/>
              </w:rPr>
            </w:pPr>
            <w:r>
              <w:rPr>
                <w:rFonts w:hint="eastAsia" w:eastAsia="黑体"/>
                <w:b/>
                <w:color w:val="auto"/>
                <w:sz w:val="24"/>
                <w:highlight w:val="none"/>
              </w:rPr>
              <w:t>图</w:t>
            </w:r>
            <w:r>
              <w:rPr>
                <w:rFonts w:eastAsia="黑体"/>
                <w:b/>
                <w:color w:val="auto"/>
                <w:sz w:val="24"/>
                <w:highlight w:val="none"/>
              </w:rPr>
              <w:t>4.</w:t>
            </w:r>
            <w:r>
              <w:rPr>
                <w:rFonts w:hint="eastAsia" w:eastAsia="黑体"/>
                <w:b/>
                <w:color w:val="auto"/>
                <w:sz w:val="24"/>
                <w:highlight w:val="none"/>
              </w:rPr>
              <w:t>2</w:t>
            </w:r>
            <w:r>
              <w:rPr>
                <w:rFonts w:eastAsia="黑体"/>
                <w:b/>
                <w:color w:val="auto"/>
                <w:sz w:val="24"/>
                <w:highlight w:val="none"/>
              </w:rPr>
              <w:t>-3</w:t>
            </w:r>
            <w:r>
              <w:rPr>
                <w:rFonts w:hint="eastAsia" w:eastAsia="黑体"/>
                <w:b/>
                <w:color w:val="auto"/>
                <w:sz w:val="24"/>
                <w:highlight w:val="none"/>
              </w:rPr>
              <w:t xml:space="preserve"> </w:t>
            </w:r>
            <w:r>
              <w:rPr>
                <w:rFonts w:eastAsia="黑体"/>
                <w:b/>
                <w:color w:val="auto"/>
                <w:sz w:val="24"/>
                <w:highlight w:val="none"/>
              </w:rPr>
              <w:t xml:space="preserve"> 厂界噪声预测</w:t>
            </w:r>
            <w:r>
              <w:rPr>
                <w:rFonts w:hint="eastAsia" w:eastAsia="黑体"/>
                <w:b/>
                <w:color w:val="auto"/>
                <w:sz w:val="24"/>
                <w:highlight w:val="none"/>
              </w:rPr>
              <w:t>等值线图</w:t>
            </w:r>
          </w:p>
          <w:p>
            <w:pPr>
              <w:spacing w:line="360" w:lineRule="auto"/>
              <w:ind w:firstLine="480" w:firstLineChars="200"/>
              <w:rPr>
                <w:color w:val="auto"/>
                <w:sz w:val="24"/>
                <w:highlight w:val="none"/>
              </w:rPr>
            </w:pPr>
            <w:r>
              <w:rPr>
                <w:color w:val="auto"/>
                <w:sz w:val="24"/>
                <w:highlight w:val="none"/>
              </w:rPr>
              <w:t>由表4.</w:t>
            </w:r>
            <w:r>
              <w:rPr>
                <w:rFonts w:hint="eastAsia"/>
                <w:color w:val="auto"/>
                <w:sz w:val="24"/>
                <w:highlight w:val="none"/>
              </w:rPr>
              <w:t>2.20</w:t>
            </w:r>
            <w:r>
              <w:rPr>
                <w:color w:val="auto"/>
                <w:sz w:val="24"/>
                <w:highlight w:val="none"/>
              </w:rPr>
              <w:t>可以看出：本次建设项目投入运营后，厂界昼</w:t>
            </w:r>
            <w:r>
              <w:rPr>
                <w:rFonts w:hint="eastAsia"/>
                <w:color w:val="auto"/>
                <w:sz w:val="24"/>
                <w:highlight w:val="none"/>
              </w:rPr>
              <w:t>、夜</w:t>
            </w:r>
            <w:r>
              <w:rPr>
                <w:color w:val="auto"/>
                <w:sz w:val="24"/>
                <w:highlight w:val="none"/>
              </w:rPr>
              <w:t>间噪声</w:t>
            </w:r>
            <w:r>
              <w:rPr>
                <w:rFonts w:hint="eastAsia"/>
                <w:color w:val="auto"/>
                <w:sz w:val="24"/>
                <w:highlight w:val="none"/>
              </w:rPr>
              <w:t>预测值均</w:t>
            </w:r>
            <w:r>
              <w:rPr>
                <w:color w:val="auto"/>
                <w:sz w:val="24"/>
                <w:highlight w:val="none"/>
              </w:rPr>
              <w:t>符合《工业企业厂界环境噪声排放标准》（GB12348-2008）规定的</w:t>
            </w:r>
            <w:r>
              <w:rPr>
                <w:rFonts w:hint="eastAsia"/>
                <w:color w:val="auto"/>
                <w:sz w:val="24"/>
                <w:highlight w:val="none"/>
              </w:rPr>
              <w:t>3</w:t>
            </w:r>
            <w:r>
              <w:rPr>
                <w:color w:val="auto"/>
                <w:sz w:val="24"/>
                <w:highlight w:val="none"/>
              </w:rPr>
              <w:t>类要求</w:t>
            </w:r>
            <w:r>
              <w:rPr>
                <w:rFonts w:hint="eastAsia"/>
                <w:color w:val="auto"/>
                <w:sz w:val="24"/>
                <w:highlight w:val="none"/>
              </w:rPr>
              <w:t>，声环境影响</w:t>
            </w:r>
            <w:r>
              <w:rPr>
                <w:color w:val="auto"/>
                <w:sz w:val="24"/>
                <w:highlight w:val="none"/>
              </w:rPr>
              <w:t>可以接受。</w:t>
            </w:r>
          </w:p>
          <w:p>
            <w:pPr>
              <w:pStyle w:val="42"/>
              <w:tabs>
                <w:tab w:val="left" w:pos="0"/>
              </w:tabs>
              <w:rPr>
                <w:color w:val="auto"/>
                <w:highlight w:val="none"/>
              </w:rPr>
            </w:pPr>
            <w:r>
              <w:rPr>
                <w:rFonts w:hint="eastAsia"/>
                <w:color w:val="auto"/>
                <w:highlight w:val="none"/>
              </w:rPr>
              <w:t>4.2.3.3 噪声防治措施及达标情况分析</w:t>
            </w:r>
          </w:p>
          <w:p>
            <w:pPr>
              <w:pStyle w:val="32"/>
              <w:ind w:firstLine="480"/>
              <w:rPr>
                <w:color w:val="auto"/>
                <w:highlight w:val="none"/>
              </w:rPr>
            </w:pPr>
            <w:r>
              <w:rPr>
                <w:rFonts w:hint="eastAsia"/>
                <w:color w:val="auto"/>
                <w:highlight w:val="none"/>
              </w:rPr>
              <w:t>项目噪声主要是机械设备运行时产生的机械噪声，为了有效降低项目厂界噪声，根据项目生产设备及周围环境特征，建议采取以下降噪措施：</w:t>
            </w:r>
          </w:p>
          <w:p>
            <w:pPr>
              <w:pStyle w:val="32"/>
              <w:ind w:firstLine="480"/>
              <w:rPr>
                <w:color w:val="auto"/>
                <w:highlight w:val="none"/>
              </w:rPr>
            </w:pPr>
            <w:r>
              <w:rPr>
                <w:rFonts w:hint="eastAsia"/>
                <w:color w:val="auto"/>
                <w:highlight w:val="none"/>
              </w:rPr>
              <w:t>（1）项目选用低噪声生产设备，从源头上降低噪声源强。</w:t>
            </w:r>
          </w:p>
          <w:p>
            <w:pPr>
              <w:pStyle w:val="32"/>
              <w:ind w:firstLine="480"/>
              <w:rPr>
                <w:color w:val="auto"/>
                <w:highlight w:val="none"/>
              </w:rPr>
            </w:pPr>
            <w:r>
              <w:rPr>
                <w:rFonts w:hint="eastAsia"/>
                <w:color w:val="auto"/>
                <w:highlight w:val="none"/>
              </w:rPr>
              <w:t>（2）加强车间内的噪声治理，对厂区高噪声设备如风机、</w:t>
            </w:r>
            <w:r>
              <w:rPr>
                <w:rFonts w:hint="eastAsia"/>
                <w:color w:val="auto"/>
                <w:kern w:val="0"/>
                <w:szCs w:val="21"/>
                <w:highlight w:val="none"/>
              </w:rPr>
              <w:t>圆筒混料机</w:t>
            </w:r>
            <w:r>
              <w:rPr>
                <w:rFonts w:hint="eastAsia"/>
                <w:color w:val="auto"/>
                <w:highlight w:val="none"/>
              </w:rPr>
              <w:t>安装减振垫等隔声措施。</w:t>
            </w:r>
          </w:p>
          <w:p>
            <w:pPr>
              <w:pStyle w:val="32"/>
              <w:ind w:firstLine="480"/>
              <w:rPr>
                <w:color w:val="auto"/>
                <w:highlight w:val="none"/>
              </w:rPr>
            </w:pPr>
            <w:r>
              <w:rPr>
                <w:rFonts w:hint="eastAsia"/>
                <w:color w:val="auto"/>
                <w:highlight w:val="none"/>
              </w:rPr>
              <w:t>（3）高噪声设备</w:t>
            </w:r>
            <w:r>
              <w:rPr>
                <w:rFonts w:hint="eastAsia" w:ascii="宋体" w:hAnsi="宋体" w:cs="宋体"/>
                <w:color w:val="auto"/>
                <w:highlight w:val="none"/>
              </w:rPr>
              <w:t>均设于室内，且安装隔声门、隔声窗</w:t>
            </w:r>
            <w:r>
              <w:rPr>
                <w:rFonts w:hint="eastAsia"/>
                <w:color w:val="auto"/>
                <w:highlight w:val="none"/>
              </w:rPr>
              <w:t>。</w:t>
            </w:r>
          </w:p>
          <w:p>
            <w:pPr>
              <w:pStyle w:val="32"/>
              <w:ind w:firstLine="480"/>
              <w:rPr>
                <w:color w:val="auto"/>
                <w:highlight w:val="none"/>
              </w:rPr>
            </w:pPr>
            <w:r>
              <w:rPr>
                <w:rFonts w:hint="eastAsia"/>
                <w:color w:val="auto"/>
                <w:highlight w:val="none"/>
              </w:rPr>
              <w:t>（4）加强设备的使用和日常维护管理，维持设备处于良好的运转状态，定期检查、维修，不符合要求的要及时更换，避免因设备运转不正常时噪声的增高。</w:t>
            </w:r>
          </w:p>
          <w:p>
            <w:pPr>
              <w:pStyle w:val="42"/>
              <w:tabs>
                <w:tab w:val="left" w:pos="0"/>
              </w:tabs>
              <w:rPr>
                <w:color w:val="auto"/>
                <w:highlight w:val="none"/>
              </w:rPr>
            </w:pPr>
            <w:bookmarkStart w:id="28" w:name="十、总量控制"/>
            <w:bookmarkEnd w:id="28"/>
            <w:r>
              <w:rPr>
                <w:rFonts w:hint="eastAsia"/>
                <w:color w:val="auto"/>
                <w:highlight w:val="none"/>
              </w:rPr>
              <w:t>4.2.3.3 监测要求</w:t>
            </w:r>
          </w:p>
          <w:p>
            <w:pPr>
              <w:adjustRightInd w:val="0"/>
              <w:snapToGrid w:val="0"/>
              <w:spacing w:line="360" w:lineRule="auto"/>
              <w:ind w:firstLine="480" w:firstLineChars="200"/>
              <w:rPr>
                <w:color w:val="auto"/>
                <w:sz w:val="24"/>
                <w:highlight w:val="none"/>
              </w:rPr>
            </w:pPr>
            <w:r>
              <w:rPr>
                <w:rFonts w:hint="eastAsia"/>
                <w:color w:val="auto"/>
                <w:sz w:val="24"/>
                <w:highlight w:val="none"/>
              </w:rPr>
              <w:t>根据《排污单位自行监测技术指南 总则》（HJ819-2017）《排污许可证申请与核发技术规范 工业噪声》（HJ1301-2023）要求，项目每季度应至少开展一次环境噪声昼夜监测；监测点位参照《工业企业厂界环境噪声排放标准》进行布设，在厂界四周共布设4个噪声监测点位。</w:t>
            </w:r>
          </w:p>
          <w:p>
            <w:pPr>
              <w:pStyle w:val="29"/>
              <w:tabs>
                <w:tab w:val="left" w:pos="644"/>
              </w:tabs>
              <w:rPr>
                <w:color w:val="auto"/>
                <w:highlight w:val="none"/>
              </w:rPr>
            </w:pPr>
            <w:r>
              <w:rPr>
                <w:rFonts w:hint="eastAsia"/>
                <w:color w:val="auto"/>
                <w:highlight w:val="none"/>
              </w:rPr>
              <w:t>4.2.4 固体废物影响分析及污染防治措施</w:t>
            </w:r>
          </w:p>
          <w:p>
            <w:pPr>
              <w:pStyle w:val="32"/>
              <w:ind w:firstLine="480"/>
              <w:rPr>
                <w:color w:val="auto"/>
                <w:highlight w:val="none"/>
              </w:rPr>
            </w:pPr>
            <w:r>
              <w:rPr>
                <w:rFonts w:hint="eastAsia"/>
                <w:color w:val="auto"/>
                <w:highlight w:val="none"/>
              </w:rPr>
              <w:t>拟建项目营运期产生的固体废物主要为废机油、废油桶、废油抹布、沉淀池沉渣、除尘器</w:t>
            </w:r>
            <w:r>
              <w:rPr>
                <w:rFonts w:hint="eastAsia"/>
                <w:color w:val="auto"/>
                <w:highlight w:val="none"/>
                <w:lang w:val="en-US" w:eastAsia="zh-CN"/>
              </w:rPr>
              <w:t>和地面沉降</w:t>
            </w:r>
            <w:r>
              <w:rPr>
                <w:rFonts w:hint="eastAsia"/>
                <w:color w:val="auto"/>
                <w:highlight w:val="none"/>
              </w:rPr>
              <w:t>收集</w:t>
            </w:r>
            <w:r>
              <w:rPr>
                <w:rFonts w:hint="eastAsia"/>
                <w:color w:val="auto"/>
                <w:highlight w:val="none"/>
                <w:lang w:val="en-US" w:eastAsia="zh-CN"/>
              </w:rPr>
              <w:t>的粉尘</w:t>
            </w:r>
            <w:r>
              <w:rPr>
                <w:rFonts w:hint="eastAsia"/>
                <w:color w:val="auto"/>
                <w:highlight w:val="none"/>
              </w:rPr>
              <w:t>、</w:t>
            </w:r>
            <w:r>
              <w:rPr>
                <w:rFonts w:hint="eastAsia"/>
                <w:color w:val="auto"/>
                <w:highlight w:val="none"/>
                <w:lang w:eastAsia="zh-CN"/>
              </w:rPr>
              <w:t>废滤芯</w:t>
            </w:r>
            <w:r>
              <w:rPr>
                <w:rFonts w:hint="eastAsia"/>
                <w:color w:val="auto"/>
                <w:highlight w:val="none"/>
              </w:rPr>
              <w:t>和员工生活垃圾。</w:t>
            </w:r>
          </w:p>
          <w:p>
            <w:pPr>
              <w:pStyle w:val="42"/>
              <w:tabs>
                <w:tab w:val="left" w:pos="0"/>
              </w:tabs>
              <w:rPr>
                <w:color w:val="auto"/>
                <w:highlight w:val="none"/>
              </w:rPr>
            </w:pPr>
            <w:r>
              <w:rPr>
                <w:rFonts w:hint="eastAsia"/>
                <w:color w:val="auto"/>
                <w:highlight w:val="none"/>
              </w:rPr>
              <w:t>4.2.4.1 固体废物污染源强分析</w:t>
            </w:r>
          </w:p>
          <w:p>
            <w:pPr>
              <w:pStyle w:val="32"/>
              <w:ind w:firstLine="480"/>
              <w:rPr>
                <w:color w:val="auto"/>
                <w:highlight w:val="none"/>
              </w:rPr>
            </w:pPr>
            <w:r>
              <w:rPr>
                <w:rFonts w:hint="eastAsia"/>
                <w:color w:val="auto"/>
                <w:highlight w:val="none"/>
              </w:rPr>
              <w:t>1.</w:t>
            </w:r>
            <w:r>
              <w:rPr>
                <w:rFonts w:hint="eastAsia"/>
                <w:color w:val="auto"/>
                <w:kern w:val="0"/>
                <w:highlight w:val="none"/>
              </w:rPr>
              <w:t>一般工业固体废物</w:t>
            </w:r>
          </w:p>
          <w:p>
            <w:pPr>
              <w:pStyle w:val="32"/>
              <w:ind w:firstLine="480"/>
              <w:rPr>
                <w:color w:val="auto"/>
                <w:szCs w:val="22"/>
                <w:highlight w:val="none"/>
              </w:rPr>
            </w:pPr>
            <w:r>
              <w:rPr>
                <w:rFonts w:hint="eastAsia"/>
                <w:color w:val="auto"/>
                <w:highlight w:val="none"/>
              </w:rPr>
              <w:t>①</w:t>
            </w:r>
            <w:r>
              <w:rPr>
                <w:rFonts w:hint="eastAsia"/>
                <w:color w:val="auto"/>
                <w:highlight w:val="none"/>
                <w:lang w:val="en-US" w:eastAsia="zh-CN"/>
              </w:rPr>
              <w:t>初期雨水池、</w:t>
            </w:r>
            <w:r>
              <w:rPr>
                <w:rFonts w:hint="eastAsia"/>
                <w:color w:val="auto"/>
                <w:highlight w:val="none"/>
              </w:rPr>
              <w:t>沉淀池沉渣（S1）：</w:t>
            </w:r>
            <w:r>
              <w:rPr>
                <w:rFonts w:hint="eastAsia"/>
                <w:color w:val="auto"/>
                <w:szCs w:val="22"/>
                <w:highlight w:val="none"/>
              </w:rPr>
              <w:t>项目</w:t>
            </w:r>
            <w:r>
              <w:rPr>
                <w:rFonts w:hint="eastAsia"/>
                <w:color w:val="auto"/>
                <w:highlight w:val="none"/>
                <w:lang w:val="en-US" w:eastAsia="zh-CN"/>
              </w:rPr>
              <w:t>初期雨水池、</w:t>
            </w:r>
            <w:r>
              <w:rPr>
                <w:rFonts w:hint="eastAsia"/>
                <w:color w:val="auto"/>
                <w:szCs w:val="22"/>
                <w:highlight w:val="none"/>
              </w:rPr>
              <w:t>沉淀池沉渣年产量约2t/a，主要为矿粉，定期全部捞出混到非标矿中继续作为原料回用于生产。根据《固体废物鉴别标准通则》（GB34330 -2025）“6不作为固体废物管理的物质6.1 b)不经过贮存或堆积过程，而在现场直接返回原生产过程或返回其生产过程的物质”，因此本项目</w:t>
            </w:r>
            <w:r>
              <w:rPr>
                <w:rFonts w:hint="eastAsia"/>
                <w:color w:val="auto"/>
                <w:highlight w:val="none"/>
                <w:lang w:val="en-US" w:eastAsia="zh-CN"/>
              </w:rPr>
              <w:t>初期雨水池、</w:t>
            </w:r>
            <w:r>
              <w:rPr>
                <w:rFonts w:hint="eastAsia"/>
                <w:color w:val="auto"/>
                <w:szCs w:val="22"/>
                <w:highlight w:val="none"/>
              </w:rPr>
              <w:t>沉淀池沉渣不作为固体废物管理。根据《危险废物鉴别标准通则》（GB 5085.7-2019）“4.1依据法律规定和GB 34330，判断待鉴别的物品、物质是否属于固体废物，不属于固体废物的，则不属于危险废物”。</w:t>
            </w:r>
          </w:p>
          <w:p>
            <w:pPr>
              <w:pStyle w:val="32"/>
              <w:ind w:firstLine="480"/>
              <w:rPr>
                <w:color w:val="auto"/>
                <w:szCs w:val="22"/>
                <w:highlight w:val="none"/>
              </w:rPr>
            </w:pPr>
            <w:r>
              <w:rPr>
                <w:rFonts w:hint="eastAsia"/>
                <w:color w:val="auto"/>
                <w:szCs w:val="22"/>
                <w:highlight w:val="none"/>
              </w:rPr>
              <w:t>根据《固体废物分类与代码目录》（公告2024年第4号），</w:t>
            </w:r>
            <w:r>
              <w:rPr>
                <w:rFonts w:hint="eastAsia"/>
                <w:color w:val="auto"/>
                <w:highlight w:val="none"/>
              </w:rPr>
              <w:t>沉淀池沉渣</w:t>
            </w:r>
            <w:r>
              <w:rPr>
                <w:rFonts w:hint="eastAsia"/>
                <w:color w:val="auto"/>
                <w:szCs w:val="22"/>
                <w:highlight w:val="none"/>
              </w:rPr>
              <w:t>属于SW07污泥，属于非特定行业，废物代码为900-099-S07其他污泥。其他行业产生的废水处理污泥。</w:t>
            </w:r>
          </w:p>
          <w:p>
            <w:pPr>
              <w:pStyle w:val="32"/>
              <w:ind w:firstLine="480"/>
              <w:rPr>
                <w:color w:val="auto"/>
                <w:szCs w:val="22"/>
                <w:highlight w:val="none"/>
              </w:rPr>
            </w:pPr>
            <w:r>
              <w:rPr>
                <w:rFonts w:hint="eastAsia"/>
                <w:color w:val="auto"/>
                <w:szCs w:val="22"/>
                <w:highlight w:val="none"/>
              </w:rPr>
              <w:t>②</w:t>
            </w:r>
            <w:r>
              <w:rPr>
                <w:rFonts w:hint="eastAsia"/>
                <w:color w:val="auto"/>
                <w:highlight w:val="none"/>
              </w:rPr>
              <w:t>除尘器</w:t>
            </w:r>
            <w:r>
              <w:rPr>
                <w:rFonts w:hint="eastAsia"/>
                <w:color w:val="auto"/>
                <w:highlight w:val="none"/>
                <w:lang w:val="en-US" w:eastAsia="zh-CN"/>
              </w:rPr>
              <w:t>和地面沉降</w:t>
            </w:r>
            <w:r>
              <w:rPr>
                <w:rFonts w:hint="eastAsia"/>
                <w:color w:val="auto"/>
                <w:highlight w:val="none"/>
              </w:rPr>
              <w:t>收集</w:t>
            </w:r>
            <w:r>
              <w:rPr>
                <w:rFonts w:hint="eastAsia"/>
                <w:color w:val="auto"/>
                <w:highlight w:val="none"/>
                <w:lang w:val="en-US" w:eastAsia="zh-CN"/>
              </w:rPr>
              <w:t>的粉尘</w:t>
            </w:r>
            <w:r>
              <w:rPr>
                <w:rFonts w:hint="eastAsia"/>
                <w:color w:val="auto"/>
                <w:szCs w:val="22"/>
                <w:highlight w:val="none"/>
              </w:rPr>
              <w:t>（S2）：项目生产过程中有组织粉尘经收集后由</w:t>
            </w:r>
            <w:r>
              <w:rPr>
                <w:rFonts w:hint="eastAsia"/>
                <w:color w:val="auto"/>
                <w:highlight w:val="none"/>
              </w:rPr>
              <w:t>塑烧板除尘器</w:t>
            </w:r>
            <w:r>
              <w:rPr>
                <w:rFonts w:hint="eastAsia"/>
                <w:color w:val="auto"/>
                <w:szCs w:val="22"/>
                <w:highlight w:val="none"/>
              </w:rPr>
              <w:t>处理，</w:t>
            </w:r>
            <w:r>
              <w:rPr>
                <w:rFonts w:hint="eastAsia"/>
                <w:color w:val="auto"/>
                <w:highlight w:val="none"/>
              </w:rPr>
              <w:t>塑烧板除尘器</w:t>
            </w:r>
            <w:r>
              <w:rPr>
                <w:rFonts w:hint="eastAsia"/>
                <w:color w:val="auto"/>
                <w:szCs w:val="22"/>
                <w:highlight w:val="none"/>
              </w:rPr>
              <w:t>收集尘量约</w:t>
            </w:r>
            <w:r>
              <w:rPr>
                <w:rFonts w:hint="eastAsia"/>
                <w:color w:val="auto"/>
                <w:szCs w:val="22"/>
                <w:highlight w:val="none"/>
                <w:lang w:val="en-US" w:eastAsia="zh-CN"/>
              </w:rPr>
              <w:t>171.113</w:t>
            </w:r>
            <w:r>
              <w:rPr>
                <w:rFonts w:hint="eastAsia"/>
                <w:color w:val="auto"/>
                <w:szCs w:val="22"/>
                <w:highlight w:val="none"/>
              </w:rPr>
              <w:t>t/a，</w:t>
            </w:r>
            <w:r>
              <w:rPr>
                <w:rFonts w:hint="eastAsia"/>
                <w:color w:val="auto"/>
                <w:szCs w:val="22"/>
                <w:highlight w:val="none"/>
                <w:lang w:val="en-US" w:eastAsia="zh-CN"/>
              </w:rPr>
              <w:t>地面沉降收集的粉尘64.919</w:t>
            </w:r>
            <w:r>
              <w:rPr>
                <w:rFonts w:hint="eastAsia"/>
                <w:color w:val="auto"/>
                <w:szCs w:val="22"/>
                <w:highlight w:val="none"/>
              </w:rPr>
              <w:t>t/a</w:t>
            </w:r>
            <w:r>
              <w:rPr>
                <w:rFonts w:hint="eastAsia"/>
                <w:color w:val="auto"/>
                <w:szCs w:val="22"/>
                <w:highlight w:val="none"/>
                <w:lang w:val="en-US" w:eastAsia="zh-CN"/>
              </w:rPr>
              <w:t>，</w:t>
            </w:r>
            <w:r>
              <w:rPr>
                <w:rFonts w:hint="eastAsia"/>
                <w:color w:val="auto"/>
                <w:szCs w:val="22"/>
                <w:highlight w:val="none"/>
              </w:rPr>
              <w:t>主要为矿粉，在现场直接收集后作为原料回用于生产，不经过贮存、不落地。根据《固体废物鉴别标准通则》（GB34330-2025）“6不作为固体废物管理的物质6.1 b)不经过贮存或堆积过程，而在现场直接返回原生产过程或返回其生产过程的物质”，因此本项目除尘器收集的粉尘不作为固体废物管理。根据《危险废物鉴别标准通则》（GB 5085.7-2019） “4.1 依据法律规定和GB34330，判断待鉴别的物品、物质是否属于固体废物，不属于固体废物的，则不属于危险废物”，因此本项目除尘器收集的粉尘不属于危险废物。</w:t>
            </w:r>
          </w:p>
          <w:p>
            <w:pPr>
              <w:pStyle w:val="32"/>
              <w:ind w:firstLine="480"/>
              <w:rPr>
                <w:color w:val="auto"/>
                <w:szCs w:val="22"/>
                <w:highlight w:val="none"/>
              </w:rPr>
            </w:pPr>
            <w:r>
              <w:rPr>
                <w:rFonts w:hint="eastAsia"/>
                <w:color w:val="auto"/>
                <w:szCs w:val="22"/>
                <w:highlight w:val="none"/>
              </w:rPr>
              <w:t>根据《固体废物分类与代码目录》（公告2024年第4号），除尘器收集尘属于SW59其他工业固体废物，属于非特定行业，废物代码为900-099-S59其他工业生产过程中产生的固体废物。</w:t>
            </w:r>
          </w:p>
          <w:p>
            <w:pPr>
              <w:pStyle w:val="32"/>
              <w:ind w:firstLine="480"/>
              <w:rPr>
                <w:color w:val="auto"/>
                <w:highlight w:val="none"/>
              </w:rPr>
            </w:pPr>
            <w:r>
              <w:rPr>
                <w:rFonts w:hint="eastAsia"/>
                <w:color w:val="auto"/>
                <w:szCs w:val="22"/>
                <w:highlight w:val="none"/>
              </w:rPr>
              <w:t>③</w:t>
            </w:r>
            <w:r>
              <w:rPr>
                <w:rFonts w:hint="eastAsia"/>
                <w:color w:val="auto"/>
                <w:szCs w:val="22"/>
                <w:highlight w:val="none"/>
                <w:lang w:eastAsia="zh-CN"/>
              </w:rPr>
              <w:t>废滤芯</w:t>
            </w:r>
            <w:r>
              <w:rPr>
                <w:rFonts w:hint="eastAsia"/>
                <w:color w:val="auto"/>
                <w:szCs w:val="22"/>
                <w:highlight w:val="none"/>
              </w:rPr>
              <w:t>（S3）：当</w:t>
            </w:r>
            <w:r>
              <w:rPr>
                <w:rFonts w:hint="eastAsia"/>
                <w:color w:val="auto"/>
                <w:highlight w:val="none"/>
                <w:lang w:val="en-US" w:eastAsia="zh-CN"/>
              </w:rPr>
              <w:t>塑烧板除尘器</w:t>
            </w:r>
            <w:r>
              <w:rPr>
                <w:rFonts w:hint="eastAsia"/>
                <w:color w:val="auto"/>
                <w:szCs w:val="22"/>
                <w:highlight w:val="none"/>
              </w:rPr>
              <w:t>效率下降时，需更换</w:t>
            </w:r>
            <w:r>
              <w:rPr>
                <w:rFonts w:hint="eastAsia"/>
                <w:color w:val="auto"/>
                <w:szCs w:val="22"/>
                <w:highlight w:val="none"/>
                <w:lang w:eastAsia="zh-CN"/>
              </w:rPr>
              <w:t>滤芯</w:t>
            </w:r>
            <w:r>
              <w:rPr>
                <w:rFonts w:hint="eastAsia"/>
                <w:color w:val="auto"/>
                <w:szCs w:val="22"/>
                <w:highlight w:val="none"/>
              </w:rPr>
              <w:t>，产生废</w:t>
            </w:r>
            <w:r>
              <w:rPr>
                <w:rFonts w:hint="eastAsia"/>
                <w:color w:val="auto"/>
                <w:szCs w:val="22"/>
                <w:highlight w:val="none"/>
                <w:lang w:eastAsia="zh-CN"/>
              </w:rPr>
              <w:t>滤芯</w:t>
            </w:r>
            <w:r>
              <w:rPr>
                <w:rFonts w:hint="eastAsia"/>
                <w:color w:val="auto"/>
                <w:szCs w:val="22"/>
                <w:highlight w:val="none"/>
              </w:rPr>
              <w:t>，产生量平均约0.005t/a，</w:t>
            </w:r>
            <w:r>
              <w:rPr>
                <w:rFonts w:hint="eastAsia"/>
                <w:color w:val="auto"/>
                <w:highlight w:val="none"/>
              </w:rPr>
              <w:t>废</w:t>
            </w:r>
            <w:r>
              <w:rPr>
                <w:rFonts w:hint="eastAsia"/>
                <w:color w:val="auto"/>
                <w:szCs w:val="22"/>
                <w:highlight w:val="none"/>
                <w:lang w:eastAsia="zh-CN"/>
              </w:rPr>
              <w:t>滤芯</w:t>
            </w:r>
            <w:r>
              <w:rPr>
                <w:rFonts w:hint="eastAsia"/>
                <w:color w:val="auto"/>
                <w:highlight w:val="none"/>
              </w:rPr>
              <w:t>收集后由厂家</w:t>
            </w:r>
            <w:r>
              <w:rPr>
                <w:rFonts w:hint="eastAsia"/>
                <w:color w:val="auto"/>
                <w:highlight w:val="none"/>
                <w:lang w:val="en-US" w:eastAsia="zh-CN"/>
              </w:rPr>
              <w:t>统一</w:t>
            </w:r>
            <w:r>
              <w:rPr>
                <w:rFonts w:hint="eastAsia"/>
                <w:color w:val="auto"/>
                <w:highlight w:val="none"/>
              </w:rPr>
              <w:t>回收。</w:t>
            </w:r>
          </w:p>
          <w:p>
            <w:pPr>
              <w:pStyle w:val="32"/>
              <w:ind w:firstLine="480"/>
              <w:rPr>
                <w:color w:val="auto"/>
                <w:szCs w:val="22"/>
                <w:highlight w:val="none"/>
              </w:rPr>
            </w:pPr>
            <w:r>
              <w:rPr>
                <w:rFonts w:hint="eastAsia"/>
                <w:color w:val="auto"/>
                <w:szCs w:val="22"/>
                <w:highlight w:val="none"/>
              </w:rPr>
              <w:t>根据《固体废物分类与代码目录》（公告2024年第4号），除尘器</w:t>
            </w:r>
            <w:r>
              <w:rPr>
                <w:rFonts w:hint="eastAsia"/>
                <w:color w:val="auto"/>
                <w:szCs w:val="22"/>
                <w:highlight w:val="none"/>
                <w:lang w:eastAsia="zh-CN"/>
              </w:rPr>
              <w:t>废滤芯</w:t>
            </w:r>
            <w:r>
              <w:rPr>
                <w:rFonts w:hint="eastAsia"/>
                <w:color w:val="auto"/>
                <w:szCs w:val="22"/>
                <w:highlight w:val="none"/>
              </w:rPr>
              <w:t>属于SW59其他工业固体废物，属于非特定行业，废物代码为900-009-S59废过滤材料。工业生产活动中产生的废过滤袋、过滤器等过滤材料。</w:t>
            </w:r>
          </w:p>
          <w:p>
            <w:pPr>
              <w:pStyle w:val="32"/>
              <w:ind w:firstLine="480"/>
              <w:rPr>
                <w:color w:val="auto"/>
                <w:szCs w:val="22"/>
                <w:highlight w:val="none"/>
              </w:rPr>
            </w:pPr>
            <w:r>
              <w:rPr>
                <w:rFonts w:hint="eastAsia"/>
                <w:color w:val="auto"/>
                <w:szCs w:val="22"/>
                <w:highlight w:val="none"/>
              </w:rPr>
              <w:t>2.危险废物</w:t>
            </w:r>
          </w:p>
          <w:p>
            <w:pPr>
              <w:pStyle w:val="32"/>
              <w:ind w:firstLine="480"/>
              <w:rPr>
                <w:color w:val="auto"/>
                <w:highlight w:val="none"/>
              </w:rPr>
            </w:pPr>
            <w:r>
              <w:rPr>
                <w:rFonts w:hint="eastAsia"/>
                <w:color w:val="auto"/>
                <w:highlight w:val="none"/>
              </w:rPr>
              <w:t>①</w:t>
            </w:r>
            <w:r>
              <w:rPr>
                <w:rFonts w:hint="eastAsia"/>
                <w:color w:val="auto"/>
                <w:szCs w:val="22"/>
                <w:highlight w:val="none"/>
              </w:rPr>
              <w:t>废机油（S4）：设备检修和日常维护过</w:t>
            </w:r>
            <w:r>
              <w:rPr>
                <w:rFonts w:hint="eastAsia"/>
                <w:color w:val="auto"/>
                <w:szCs w:val="22"/>
                <w:highlight w:val="none"/>
                <w:lang w:eastAsia="zh-CN"/>
              </w:rPr>
              <w:t>程中</w:t>
            </w:r>
            <w:r>
              <w:rPr>
                <w:rFonts w:hint="eastAsia"/>
                <w:color w:val="auto"/>
                <w:szCs w:val="22"/>
                <w:highlight w:val="none"/>
              </w:rPr>
              <w:t>会产生废机油，</w:t>
            </w:r>
            <w:r>
              <w:rPr>
                <w:rFonts w:hint="eastAsia"/>
                <w:color w:val="auto"/>
                <w:highlight w:val="none"/>
              </w:rPr>
              <w:t>设备每年检修6次，每次产生量约为40kg，年产生量0.24t/a</w:t>
            </w:r>
            <w:r>
              <w:rPr>
                <w:color w:val="auto"/>
                <w:highlight w:val="none"/>
              </w:rPr>
              <w:t>。根据《国家危险废物名录》</w:t>
            </w:r>
            <w:r>
              <w:rPr>
                <w:rFonts w:hint="eastAsia"/>
                <w:color w:val="auto"/>
                <w:highlight w:val="none"/>
              </w:rPr>
              <w:t>（2025年版），</w:t>
            </w:r>
            <w:r>
              <w:rPr>
                <w:rFonts w:hint="eastAsia"/>
                <w:color w:val="auto"/>
                <w:szCs w:val="22"/>
                <w:highlight w:val="none"/>
              </w:rPr>
              <w:t>废机油</w:t>
            </w:r>
            <w:r>
              <w:rPr>
                <w:color w:val="auto"/>
                <w:highlight w:val="none"/>
              </w:rPr>
              <w:t>属于HW</w:t>
            </w:r>
            <w:r>
              <w:rPr>
                <w:rFonts w:hint="eastAsia"/>
                <w:color w:val="auto"/>
                <w:highlight w:val="none"/>
              </w:rPr>
              <w:t>08废矿物油与含矿物油废物</w:t>
            </w:r>
            <w:r>
              <w:rPr>
                <w:color w:val="auto"/>
                <w:highlight w:val="none"/>
              </w:rPr>
              <w:t>（</w:t>
            </w:r>
            <w:r>
              <w:rPr>
                <w:rFonts w:hint="eastAsia"/>
                <w:color w:val="auto"/>
                <w:highlight w:val="none"/>
              </w:rPr>
              <w:t>900-214-08车辆、轮船及其它机械维修过程中产生的废发动机油、制动器油、自动变速器油、齿轮油等废润滑油</w:t>
            </w:r>
            <w:r>
              <w:rPr>
                <w:color w:val="auto"/>
                <w:highlight w:val="none"/>
              </w:rPr>
              <w:t>），经分类收集后，暂存于危废暂存间内</w:t>
            </w:r>
            <w:r>
              <w:rPr>
                <w:rFonts w:hint="eastAsia"/>
                <w:color w:val="auto"/>
                <w:highlight w:val="none"/>
              </w:rPr>
              <w:t>，定期</w:t>
            </w:r>
            <w:r>
              <w:rPr>
                <w:color w:val="auto"/>
                <w:highlight w:val="none"/>
              </w:rPr>
              <w:t>交由有资质的单位进行专业处置。</w:t>
            </w:r>
          </w:p>
          <w:p>
            <w:pPr>
              <w:pStyle w:val="32"/>
              <w:ind w:firstLine="480"/>
              <w:rPr>
                <w:color w:val="auto"/>
                <w:szCs w:val="22"/>
                <w:highlight w:val="none"/>
              </w:rPr>
            </w:pPr>
            <w:r>
              <w:rPr>
                <w:rFonts w:hint="eastAsia"/>
                <w:color w:val="auto"/>
                <w:szCs w:val="22"/>
                <w:highlight w:val="none"/>
              </w:rPr>
              <w:t>②</w:t>
            </w:r>
            <w:r>
              <w:rPr>
                <w:rFonts w:hint="eastAsia"/>
                <w:color w:val="auto"/>
                <w:highlight w:val="none"/>
              </w:rPr>
              <w:t>废油桶（S5）</w:t>
            </w:r>
          </w:p>
          <w:p>
            <w:pPr>
              <w:pStyle w:val="32"/>
              <w:ind w:firstLine="480"/>
              <w:rPr>
                <w:color w:val="auto"/>
                <w:highlight w:val="none"/>
              </w:rPr>
            </w:pPr>
            <w:r>
              <w:rPr>
                <w:rFonts w:hint="eastAsia"/>
                <w:color w:val="auto"/>
                <w:highlight w:val="none"/>
              </w:rPr>
              <w:t>废油桶产生6个，折算为0.03t/a</w:t>
            </w:r>
            <w:r>
              <w:rPr>
                <w:color w:val="auto"/>
                <w:highlight w:val="none"/>
              </w:rPr>
              <w:t>。根据《国家危险废物名录》</w:t>
            </w:r>
            <w:r>
              <w:rPr>
                <w:rFonts w:hint="eastAsia"/>
                <w:color w:val="auto"/>
                <w:highlight w:val="none"/>
              </w:rPr>
              <w:t>（2025年版），废油桶</w:t>
            </w:r>
            <w:r>
              <w:rPr>
                <w:color w:val="auto"/>
                <w:highlight w:val="none"/>
              </w:rPr>
              <w:t>属于HW</w:t>
            </w:r>
            <w:r>
              <w:rPr>
                <w:rFonts w:hint="eastAsia"/>
                <w:color w:val="auto"/>
                <w:highlight w:val="none"/>
              </w:rPr>
              <w:t>49其他废物</w:t>
            </w:r>
            <w:r>
              <w:rPr>
                <w:color w:val="auto"/>
                <w:highlight w:val="none"/>
              </w:rPr>
              <w:t>（</w:t>
            </w:r>
            <w:r>
              <w:rPr>
                <w:rFonts w:hint="eastAsia"/>
                <w:color w:val="auto"/>
                <w:highlight w:val="none"/>
              </w:rPr>
              <w:t>900-041-49含有或者沾染毒性、感染性危险废物的废弃的包装物、容器、过滤吸附介质</w:t>
            </w:r>
            <w:r>
              <w:rPr>
                <w:color w:val="auto"/>
                <w:highlight w:val="none"/>
              </w:rPr>
              <w:t>），经分类收集后，暂存于危废暂存间内</w:t>
            </w:r>
            <w:r>
              <w:rPr>
                <w:rFonts w:hint="eastAsia"/>
                <w:color w:val="auto"/>
                <w:highlight w:val="none"/>
              </w:rPr>
              <w:t>，定期</w:t>
            </w:r>
            <w:r>
              <w:rPr>
                <w:color w:val="auto"/>
                <w:highlight w:val="none"/>
              </w:rPr>
              <w:t>交由有资质的单位进行专业处置。</w:t>
            </w:r>
          </w:p>
          <w:p>
            <w:pPr>
              <w:pStyle w:val="32"/>
              <w:ind w:firstLine="480"/>
              <w:rPr>
                <w:color w:val="auto"/>
                <w:highlight w:val="none"/>
              </w:rPr>
            </w:pPr>
            <w:r>
              <w:rPr>
                <w:rFonts w:hint="eastAsia"/>
                <w:color w:val="auto"/>
                <w:szCs w:val="22"/>
                <w:highlight w:val="none"/>
              </w:rPr>
              <w:t>③含油抹布（S6）：设备检修和日常维护过</w:t>
            </w:r>
            <w:r>
              <w:rPr>
                <w:rFonts w:hint="eastAsia"/>
                <w:color w:val="auto"/>
                <w:szCs w:val="22"/>
                <w:highlight w:val="none"/>
                <w:lang w:eastAsia="zh-CN"/>
              </w:rPr>
              <w:t>程中</w:t>
            </w:r>
            <w:r>
              <w:rPr>
                <w:rFonts w:hint="eastAsia"/>
                <w:color w:val="auto"/>
                <w:szCs w:val="22"/>
                <w:highlight w:val="none"/>
              </w:rPr>
              <w:t>会产生含油抹布，</w:t>
            </w:r>
            <w:r>
              <w:rPr>
                <w:color w:val="auto"/>
                <w:highlight w:val="none"/>
              </w:rPr>
              <w:t>产生量约</w:t>
            </w:r>
            <w:r>
              <w:rPr>
                <w:rFonts w:hint="eastAsia"/>
                <w:color w:val="auto"/>
                <w:highlight w:val="none"/>
              </w:rPr>
              <w:t>0.02</w:t>
            </w:r>
            <w:r>
              <w:rPr>
                <w:color w:val="auto"/>
                <w:highlight w:val="none"/>
              </w:rPr>
              <w:t>t/a。根据《国家危险废物名录》</w:t>
            </w:r>
            <w:r>
              <w:rPr>
                <w:rFonts w:hint="eastAsia"/>
                <w:color w:val="auto"/>
                <w:highlight w:val="none"/>
              </w:rPr>
              <w:t>（2025年版），</w:t>
            </w:r>
            <w:r>
              <w:rPr>
                <w:rFonts w:hint="eastAsia"/>
                <w:color w:val="auto"/>
                <w:szCs w:val="22"/>
                <w:highlight w:val="none"/>
              </w:rPr>
              <w:t>含油抹布</w:t>
            </w:r>
            <w:r>
              <w:rPr>
                <w:color w:val="auto"/>
                <w:highlight w:val="none"/>
              </w:rPr>
              <w:t>属于HW</w:t>
            </w:r>
            <w:r>
              <w:rPr>
                <w:rFonts w:hint="eastAsia"/>
                <w:color w:val="auto"/>
                <w:highlight w:val="none"/>
              </w:rPr>
              <w:t>49其他废物</w:t>
            </w:r>
            <w:r>
              <w:rPr>
                <w:color w:val="auto"/>
                <w:highlight w:val="none"/>
              </w:rPr>
              <w:t>（</w:t>
            </w:r>
            <w:r>
              <w:rPr>
                <w:rFonts w:hint="eastAsia"/>
                <w:color w:val="auto"/>
                <w:highlight w:val="none"/>
              </w:rPr>
              <w:t>900-041-49含有或者沾染毒性、感染性危险废物的废弃的包装物、容器、过滤吸附介质</w:t>
            </w:r>
            <w:r>
              <w:rPr>
                <w:color w:val="auto"/>
                <w:highlight w:val="none"/>
              </w:rPr>
              <w:t>），经分类收集后，暂存于危废暂存间内</w:t>
            </w:r>
            <w:r>
              <w:rPr>
                <w:rFonts w:hint="eastAsia"/>
                <w:color w:val="auto"/>
                <w:highlight w:val="none"/>
              </w:rPr>
              <w:t>，定期</w:t>
            </w:r>
            <w:r>
              <w:rPr>
                <w:color w:val="auto"/>
                <w:highlight w:val="none"/>
              </w:rPr>
              <w:t>交由有资质的单位进行专业处置。</w:t>
            </w:r>
          </w:p>
          <w:p>
            <w:pPr>
              <w:pStyle w:val="32"/>
              <w:ind w:firstLine="480"/>
              <w:rPr>
                <w:color w:val="auto"/>
                <w:szCs w:val="22"/>
                <w:highlight w:val="none"/>
              </w:rPr>
            </w:pPr>
            <w:r>
              <w:rPr>
                <w:rFonts w:hint="eastAsia"/>
                <w:color w:val="auto"/>
                <w:szCs w:val="22"/>
                <w:highlight w:val="none"/>
              </w:rPr>
              <w:t>3.生活垃圾</w:t>
            </w:r>
          </w:p>
          <w:p>
            <w:pPr>
              <w:pStyle w:val="32"/>
              <w:ind w:firstLine="480"/>
              <w:rPr>
                <w:color w:val="auto"/>
                <w:highlight w:val="none"/>
              </w:rPr>
            </w:pPr>
            <w:r>
              <w:rPr>
                <w:rFonts w:hint="eastAsia"/>
                <w:color w:val="auto"/>
                <w:highlight w:val="none"/>
              </w:rPr>
              <w:t>本项目</w:t>
            </w:r>
            <w:r>
              <w:rPr>
                <w:rFonts w:hint="eastAsia"/>
                <w:color w:val="auto"/>
                <w:highlight w:val="none"/>
                <w:lang w:val="en-US" w:eastAsia="zh-CN"/>
              </w:rPr>
              <w:t>平均每日</w:t>
            </w:r>
            <w:r>
              <w:rPr>
                <w:rFonts w:hint="eastAsia"/>
                <w:color w:val="auto"/>
                <w:highlight w:val="none"/>
              </w:rPr>
              <w:t>员工18人，依照我国生活污染物排放系数，不住厂生活垃圾产生量以0.5kg/人·天计，故本项目建成后生活垃圾产生量为2.97t/a。</w:t>
            </w:r>
          </w:p>
          <w:p>
            <w:pPr>
              <w:pStyle w:val="32"/>
              <w:ind w:firstLine="480"/>
              <w:rPr>
                <w:color w:val="auto"/>
                <w:highlight w:val="none"/>
              </w:rPr>
            </w:pPr>
            <w:r>
              <w:rPr>
                <w:rFonts w:hint="eastAsia"/>
                <w:color w:val="auto"/>
                <w:highlight w:val="none"/>
              </w:rPr>
              <w:t>生活垃圾分类收集，定点袋装后，由当地环卫部门统一收集清理，做到定期清运。</w:t>
            </w:r>
          </w:p>
          <w:p>
            <w:pPr>
              <w:pStyle w:val="32"/>
              <w:ind w:firstLine="480"/>
              <w:rPr>
                <w:color w:val="auto"/>
                <w:szCs w:val="22"/>
                <w:highlight w:val="none"/>
              </w:rPr>
            </w:pPr>
            <w:r>
              <w:rPr>
                <w:rFonts w:hint="eastAsia"/>
                <w:color w:val="auto"/>
                <w:szCs w:val="22"/>
                <w:highlight w:val="none"/>
              </w:rPr>
              <w:t>根据《固体废物分类与代码目录》（公告2024年第4号），生活垃圾废物种类属于SW64其他垃圾，属于非特定行业，废物代码为900-099-S64。</w:t>
            </w:r>
          </w:p>
          <w:p>
            <w:pPr>
              <w:pStyle w:val="42"/>
              <w:tabs>
                <w:tab w:val="left" w:pos="0"/>
              </w:tabs>
              <w:rPr>
                <w:color w:val="auto"/>
                <w:highlight w:val="none"/>
              </w:rPr>
            </w:pPr>
            <w:r>
              <w:rPr>
                <w:rFonts w:hint="eastAsia"/>
                <w:color w:val="auto"/>
                <w:highlight w:val="none"/>
              </w:rPr>
              <w:t>4.2.4.1 固体废物处置措施</w:t>
            </w:r>
          </w:p>
          <w:p>
            <w:pPr>
              <w:pStyle w:val="32"/>
              <w:ind w:firstLine="480"/>
              <w:rPr>
                <w:color w:val="auto"/>
                <w:szCs w:val="22"/>
                <w:highlight w:val="none"/>
              </w:rPr>
            </w:pPr>
            <w:r>
              <w:rPr>
                <w:rFonts w:hint="eastAsia"/>
                <w:color w:val="auto"/>
                <w:szCs w:val="22"/>
                <w:highlight w:val="none"/>
              </w:rPr>
              <w:t>职工生活垃圾采用生活垃圾收集桶收集后，由环卫部门定期清运处置；</w:t>
            </w:r>
            <w:r>
              <w:rPr>
                <w:rFonts w:hint="eastAsia"/>
                <w:color w:val="auto"/>
                <w:highlight w:val="none"/>
              </w:rPr>
              <w:t>沉淀池沉渣</w:t>
            </w:r>
            <w:r>
              <w:rPr>
                <w:rFonts w:hint="eastAsia"/>
                <w:color w:val="auto"/>
                <w:szCs w:val="22"/>
                <w:highlight w:val="none"/>
              </w:rPr>
              <w:t>、</w:t>
            </w:r>
            <w:r>
              <w:rPr>
                <w:rFonts w:hint="eastAsia"/>
                <w:color w:val="auto"/>
                <w:highlight w:val="none"/>
              </w:rPr>
              <w:t>除尘器</w:t>
            </w:r>
            <w:r>
              <w:rPr>
                <w:rFonts w:hint="eastAsia"/>
                <w:color w:val="auto"/>
                <w:highlight w:val="none"/>
                <w:lang w:val="en-US" w:eastAsia="zh-CN"/>
              </w:rPr>
              <w:t>和地面沉降</w:t>
            </w:r>
            <w:r>
              <w:rPr>
                <w:rFonts w:hint="eastAsia"/>
                <w:color w:val="auto"/>
                <w:highlight w:val="none"/>
              </w:rPr>
              <w:t>收集</w:t>
            </w:r>
            <w:r>
              <w:rPr>
                <w:rFonts w:hint="eastAsia"/>
                <w:color w:val="auto"/>
                <w:highlight w:val="none"/>
                <w:lang w:val="en-US" w:eastAsia="zh-CN"/>
              </w:rPr>
              <w:t>的粉尘</w:t>
            </w:r>
            <w:r>
              <w:rPr>
                <w:rFonts w:hint="eastAsia"/>
                <w:color w:val="auto"/>
                <w:szCs w:val="22"/>
                <w:highlight w:val="none"/>
              </w:rPr>
              <w:t>混到非标矿里继续作为原料回用于生产</w:t>
            </w:r>
            <w:r>
              <w:rPr>
                <w:rFonts w:hint="eastAsia"/>
                <w:color w:val="auto"/>
                <w:highlight w:val="none"/>
              </w:rPr>
              <w:t>；</w:t>
            </w:r>
            <w:r>
              <w:rPr>
                <w:rFonts w:hint="eastAsia"/>
                <w:color w:val="auto"/>
                <w:szCs w:val="22"/>
                <w:highlight w:val="none"/>
              </w:rPr>
              <w:t>危险废物暂存于危险废物暂存间，定期交由有资质的单位处置。</w:t>
            </w:r>
          </w:p>
          <w:p>
            <w:pPr>
              <w:pStyle w:val="32"/>
              <w:ind w:firstLine="480"/>
              <w:rPr>
                <w:color w:val="auto"/>
                <w:szCs w:val="22"/>
                <w:highlight w:val="none"/>
              </w:rPr>
            </w:pPr>
            <w:r>
              <w:rPr>
                <w:rFonts w:hint="eastAsia"/>
                <w:color w:val="auto"/>
                <w:szCs w:val="22"/>
                <w:highlight w:val="none"/>
              </w:rPr>
              <w:t>项目运营期各类固体废物产生及处置情况详见表4.2.2</w:t>
            </w:r>
            <w:r>
              <w:rPr>
                <w:rFonts w:hint="eastAsia"/>
                <w:color w:val="auto"/>
                <w:szCs w:val="22"/>
                <w:highlight w:val="none"/>
                <w:lang w:val="en-US" w:eastAsia="zh-CN"/>
              </w:rPr>
              <w:t>6</w:t>
            </w:r>
            <w:r>
              <w:rPr>
                <w:rFonts w:hint="eastAsia"/>
                <w:color w:val="auto"/>
                <w:szCs w:val="22"/>
                <w:highlight w:val="none"/>
              </w:rPr>
              <w:t>。</w:t>
            </w:r>
          </w:p>
          <w:p>
            <w:pPr>
              <w:pStyle w:val="36"/>
              <w:rPr>
                <w:rFonts w:hint="eastAsia"/>
                <w:color w:val="auto"/>
                <w:highlight w:val="none"/>
              </w:rPr>
            </w:pPr>
          </w:p>
          <w:p>
            <w:pPr>
              <w:pStyle w:val="36"/>
              <w:rPr>
                <w:rFonts w:hint="eastAsia"/>
                <w:color w:val="auto"/>
                <w:highlight w:val="none"/>
              </w:rPr>
            </w:pPr>
          </w:p>
          <w:p>
            <w:pPr>
              <w:pStyle w:val="36"/>
              <w:rPr>
                <w:rFonts w:hint="eastAsia"/>
                <w:color w:val="auto"/>
                <w:highlight w:val="none"/>
              </w:rPr>
            </w:pPr>
          </w:p>
          <w:p>
            <w:pPr>
              <w:pStyle w:val="36"/>
              <w:rPr>
                <w:rFonts w:hint="eastAsia"/>
                <w:color w:val="auto"/>
                <w:highlight w:val="none"/>
              </w:rPr>
            </w:pPr>
          </w:p>
          <w:p>
            <w:pPr>
              <w:pStyle w:val="36"/>
              <w:rPr>
                <w:rFonts w:hint="eastAsia"/>
                <w:color w:val="auto"/>
                <w:highlight w:val="none"/>
              </w:rPr>
            </w:pPr>
          </w:p>
          <w:p>
            <w:pPr>
              <w:pStyle w:val="36"/>
              <w:rPr>
                <w:rFonts w:hint="eastAsia"/>
                <w:color w:val="auto"/>
                <w:highlight w:val="none"/>
              </w:rPr>
            </w:pPr>
          </w:p>
          <w:p>
            <w:pPr>
              <w:pStyle w:val="36"/>
              <w:rPr>
                <w:color w:val="auto"/>
                <w:highlight w:val="none"/>
              </w:rPr>
            </w:pPr>
            <w:r>
              <w:rPr>
                <w:rFonts w:hint="eastAsia"/>
                <w:color w:val="auto"/>
                <w:highlight w:val="none"/>
              </w:rPr>
              <w:t>表4.2.2</w:t>
            </w:r>
            <w:r>
              <w:rPr>
                <w:rFonts w:hint="eastAsia"/>
                <w:color w:val="auto"/>
                <w:highlight w:val="none"/>
                <w:lang w:val="en-US" w:eastAsia="zh-CN"/>
              </w:rPr>
              <w:t>6</w:t>
            </w:r>
            <w:r>
              <w:rPr>
                <w:rFonts w:hint="eastAsia"/>
                <w:color w:val="auto"/>
                <w:highlight w:val="none"/>
              </w:rPr>
              <w:t xml:space="preserve">  项目固体废物产生及处置情况一览表    单位：t/a</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
              <w:gridCol w:w="752"/>
              <w:gridCol w:w="707"/>
              <w:gridCol w:w="889"/>
              <w:gridCol w:w="889"/>
              <w:gridCol w:w="1376"/>
              <w:gridCol w:w="672"/>
              <w:gridCol w:w="677"/>
              <w:gridCol w:w="891"/>
              <w:gridCol w:w="770"/>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273" w:type="pct"/>
                  <w:vAlign w:val="center"/>
                </w:tcPr>
                <w:p>
                  <w:pPr>
                    <w:pStyle w:val="35"/>
                    <w:rPr>
                      <w:color w:val="auto"/>
                      <w:highlight w:val="none"/>
                    </w:rPr>
                  </w:pPr>
                  <w:r>
                    <w:rPr>
                      <w:color w:val="auto"/>
                      <w:highlight w:val="none"/>
                    </w:rPr>
                    <w:t>序号</w:t>
                  </w:r>
                </w:p>
              </w:tc>
              <w:tc>
                <w:tcPr>
                  <w:tcW w:w="413" w:type="pct"/>
                  <w:vAlign w:val="center"/>
                </w:tcPr>
                <w:p>
                  <w:pPr>
                    <w:pStyle w:val="35"/>
                    <w:rPr>
                      <w:color w:val="auto"/>
                      <w:highlight w:val="none"/>
                    </w:rPr>
                  </w:pPr>
                  <w:r>
                    <w:rPr>
                      <w:color w:val="auto"/>
                      <w:highlight w:val="none"/>
                    </w:rPr>
                    <w:t>产生环节</w:t>
                  </w:r>
                </w:p>
              </w:tc>
              <w:tc>
                <w:tcPr>
                  <w:tcW w:w="389" w:type="pct"/>
                  <w:vAlign w:val="center"/>
                </w:tcPr>
                <w:p>
                  <w:pPr>
                    <w:pStyle w:val="35"/>
                    <w:rPr>
                      <w:color w:val="auto"/>
                      <w:highlight w:val="none"/>
                    </w:rPr>
                  </w:pPr>
                  <w:r>
                    <w:rPr>
                      <w:color w:val="auto"/>
                      <w:highlight w:val="none"/>
                    </w:rPr>
                    <w:t>名称</w:t>
                  </w:r>
                </w:p>
              </w:tc>
              <w:tc>
                <w:tcPr>
                  <w:tcW w:w="487" w:type="pct"/>
                  <w:vAlign w:val="center"/>
                </w:tcPr>
                <w:p>
                  <w:pPr>
                    <w:pStyle w:val="35"/>
                    <w:rPr>
                      <w:color w:val="auto"/>
                      <w:highlight w:val="none"/>
                    </w:rPr>
                  </w:pPr>
                  <w:r>
                    <w:rPr>
                      <w:rFonts w:hint="eastAsia"/>
                      <w:color w:val="auto"/>
                      <w:highlight w:val="none"/>
                    </w:rPr>
                    <w:t>主要成分</w:t>
                  </w:r>
                </w:p>
              </w:tc>
              <w:tc>
                <w:tcPr>
                  <w:tcW w:w="487" w:type="pct"/>
                  <w:vAlign w:val="center"/>
                </w:tcPr>
                <w:p>
                  <w:pPr>
                    <w:pStyle w:val="35"/>
                    <w:rPr>
                      <w:color w:val="auto"/>
                      <w:highlight w:val="none"/>
                    </w:rPr>
                  </w:pPr>
                  <w:r>
                    <w:rPr>
                      <w:rFonts w:hint="eastAsia"/>
                      <w:color w:val="auto"/>
                      <w:highlight w:val="none"/>
                    </w:rPr>
                    <w:t>废物类别</w:t>
                  </w:r>
                </w:p>
              </w:tc>
              <w:tc>
                <w:tcPr>
                  <w:tcW w:w="749" w:type="pct"/>
                  <w:vAlign w:val="center"/>
                </w:tcPr>
                <w:p>
                  <w:pPr>
                    <w:pStyle w:val="35"/>
                    <w:rPr>
                      <w:color w:val="auto"/>
                      <w:highlight w:val="none"/>
                    </w:rPr>
                  </w:pPr>
                  <w:r>
                    <w:rPr>
                      <w:rFonts w:hint="eastAsia"/>
                      <w:color w:val="auto"/>
                      <w:highlight w:val="none"/>
                    </w:rPr>
                    <w:t>代码</w:t>
                  </w:r>
                </w:p>
              </w:tc>
              <w:tc>
                <w:tcPr>
                  <w:tcW w:w="370" w:type="pct"/>
                  <w:vAlign w:val="center"/>
                </w:tcPr>
                <w:p>
                  <w:pPr>
                    <w:pStyle w:val="35"/>
                    <w:rPr>
                      <w:color w:val="auto"/>
                      <w:highlight w:val="none"/>
                    </w:rPr>
                  </w:pPr>
                  <w:r>
                    <w:rPr>
                      <w:color w:val="auto"/>
                      <w:highlight w:val="none"/>
                    </w:rPr>
                    <w:t>属性</w:t>
                  </w:r>
                </w:p>
              </w:tc>
              <w:tc>
                <w:tcPr>
                  <w:tcW w:w="373" w:type="pct"/>
                  <w:vAlign w:val="center"/>
                </w:tcPr>
                <w:p>
                  <w:pPr>
                    <w:pStyle w:val="35"/>
                    <w:rPr>
                      <w:color w:val="auto"/>
                      <w:highlight w:val="none"/>
                    </w:rPr>
                  </w:pPr>
                  <w:r>
                    <w:rPr>
                      <w:rFonts w:hint="eastAsia"/>
                      <w:color w:val="auto"/>
                      <w:highlight w:val="none"/>
                    </w:rPr>
                    <w:t>危险特性</w:t>
                  </w:r>
                </w:p>
              </w:tc>
              <w:tc>
                <w:tcPr>
                  <w:tcW w:w="393" w:type="pct"/>
                  <w:vAlign w:val="center"/>
                </w:tcPr>
                <w:p>
                  <w:pPr>
                    <w:pStyle w:val="35"/>
                    <w:rPr>
                      <w:color w:val="auto"/>
                      <w:highlight w:val="none"/>
                    </w:rPr>
                  </w:pPr>
                  <w:r>
                    <w:rPr>
                      <w:color w:val="auto"/>
                      <w:highlight w:val="none"/>
                    </w:rPr>
                    <w:t>产生量</w:t>
                  </w:r>
                </w:p>
              </w:tc>
              <w:tc>
                <w:tcPr>
                  <w:tcW w:w="423" w:type="pct"/>
                  <w:vAlign w:val="center"/>
                </w:tcPr>
                <w:p>
                  <w:pPr>
                    <w:pStyle w:val="35"/>
                    <w:rPr>
                      <w:color w:val="auto"/>
                      <w:highlight w:val="none"/>
                    </w:rPr>
                  </w:pPr>
                  <w:r>
                    <w:rPr>
                      <w:color w:val="auto"/>
                      <w:highlight w:val="none"/>
                    </w:rPr>
                    <w:t>储存 方式</w:t>
                  </w:r>
                </w:p>
              </w:tc>
              <w:tc>
                <w:tcPr>
                  <w:tcW w:w="637" w:type="pct"/>
                  <w:vAlign w:val="center"/>
                </w:tcPr>
                <w:p>
                  <w:pPr>
                    <w:pStyle w:val="35"/>
                    <w:rPr>
                      <w:color w:val="auto"/>
                      <w:highlight w:val="none"/>
                    </w:rPr>
                  </w:pPr>
                  <w:r>
                    <w:rPr>
                      <w:color w:val="auto"/>
                      <w:highlight w:val="none"/>
                    </w:rPr>
                    <w:t>利用处置方式及去向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273" w:type="pct"/>
                  <w:vAlign w:val="center"/>
                </w:tcPr>
                <w:p>
                  <w:pPr>
                    <w:pStyle w:val="35"/>
                    <w:rPr>
                      <w:color w:val="auto"/>
                      <w:highlight w:val="none"/>
                    </w:rPr>
                  </w:pPr>
                  <w:r>
                    <w:rPr>
                      <w:rFonts w:hint="eastAsia"/>
                      <w:color w:val="auto"/>
                      <w:highlight w:val="none"/>
                    </w:rPr>
                    <w:t>S1</w:t>
                  </w:r>
                </w:p>
              </w:tc>
              <w:tc>
                <w:tcPr>
                  <w:tcW w:w="413" w:type="pct"/>
                  <w:vAlign w:val="center"/>
                </w:tcPr>
                <w:p>
                  <w:pPr>
                    <w:pStyle w:val="35"/>
                    <w:rPr>
                      <w:color w:val="auto"/>
                      <w:highlight w:val="none"/>
                    </w:rPr>
                  </w:pPr>
                  <w:r>
                    <w:rPr>
                      <w:rFonts w:hint="eastAsia"/>
                      <w:color w:val="auto"/>
                      <w:highlight w:val="none"/>
                    </w:rPr>
                    <w:t>污水处理</w:t>
                  </w:r>
                </w:p>
              </w:tc>
              <w:tc>
                <w:tcPr>
                  <w:tcW w:w="389" w:type="pct"/>
                  <w:vAlign w:val="center"/>
                </w:tcPr>
                <w:p>
                  <w:pPr>
                    <w:pStyle w:val="35"/>
                    <w:rPr>
                      <w:color w:val="auto"/>
                      <w:highlight w:val="none"/>
                    </w:rPr>
                  </w:pPr>
                  <w:r>
                    <w:rPr>
                      <w:rFonts w:hint="eastAsia"/>
                      <w:color w:val="auto"/>
                      <w:highlight w:val="none"/>
                    </w:rPr>
                    <w:t>沉淀池沉渣</w:t>
                  </w:r>
                </w:p>
              </w:tc>
              <w:tc>
                <w:tcPr>
                  <w:tcW w:w="487" w:type="pct"/>
                  <w:vAlign w:val="center"/>
                </w:tcPr>
                <w:p>
                  <w:pPr>
                    <w:pStyle w:val="35"/>
                    <w:rPr>
                      <w:color w:val="auto"/>
                      <w:highlight w:val="none"/>
                    </w:rPr>
                  </w:pPr>
                  <w:r>
                    <w:rPr>
                      <w:rFonts w:hint="eastAsia"/>
                      <w:color w:val="auto"/>
                      <w:highlight w:val="none"/>
                    </w:rPr>
                    <w:t>精铜矿</w:t>
                  </w:r>
                </w:p>
              </w:tc>
              <w:tc>
                <w:tcPr>
                  <w:tcW w:w="487" w:type="pct"/>
                  <w:vAlign w:val="center"/>
                </w:tcPr>
                <w:p>
                  <w:pPr>
                    <w:pStyle w:val="35"/>
                    <w:rPr>
                      <w:color w:val="auto"/>
                      <w:highlight w:val="none"/>
                    </w:rPr>
                  </w:pPr>
                  <w:r>
                    <w:rPr>
                      <w:rFonts w:hint="eastAsia"/>
                      <w:color w:val="auto"/>
                      <w:highlight w:val="none"/>
                    </w:rPr>
                    <w:t>SW07</w:t>
                  </w:r>
                </w:p>
              </w:tc>
              <w:tc>
                <w:tcPr>
                  <w:tcW w:w="749" w:type="pct"/>
                  <w:vAlign w:val="center"/>
                </w:tcPr>
                <w:p>
                  <w:pPr>
                    <w:pStyle w:val="35"/>
                    <w:rPr>
                      <w:color w:val="auto"/>
                      <w:highlight w:val="none"/>
                    </w:rPr>
                  </w:pPr>
                  <w:r>
                    <w:rPr>
                      <w:rFonts w:hint="eastAsia"/>
                      <w:color w:val="auto"/>
                      <w:szCs w:val="22"/>
                      <w:highlight w:val="none"/>
                    </w:rPr>
                    <w:t>900-099-S07</w:t>
                  </w:r>
                </w:p>
              </w:tc>
              <w:tc>
                <w:tcPr>
                  <w:tcW w:w="370" w:type="pct"/>
                  <w:vAlign w:val="center"/>
                </w:tcPr>
                <w:p>
                  <w:pPr>
                    <w:pStyle w:val="35"/>
                    <w:rPr>
                      <w:color w:val="auto"/>
                      <w:highlight w:val="none"/>
                    </w:rPr>
                  </w:pPr>
                  <w:r>
                    <w:rPr>
                      <w:rFonts w:hint="eastAsia"/>
                      <w:color w:val="auto"/>
                      <w:highlight w:val="none"/>
                    </w:rPr>
                    <w:t>一般固废</w:t>
                  </w:r>
                </w:p>
              </w:tc>
              <w:tc>
                <w:tcPr>
                  <w:tcW w:w="373" w:type="pct"/>
                  <w:vAlign w:val="center"/>
                </w:tcPr>
                <w:p>
                  <w:pPr>
                    <w:pStyle w:val="35"/>
                    <w:rPr>
                      <w:color w:val="auto"/>
                      <w:highlight w:val="none"/>
                    </w:rPr>
                  </w:pPr>
                  <w:r>
                    <w:rPr>
                      <w:rFonts w:hint="eastAsia"/>
                      <w:color w:val="auto"/>
                      <w:highlight w:val="none"/>
                    </w:rPr>
                    <w:t>/</w:t>
                  </w:r>
                </w:p>
              </w:tc>
              <w:tc>
                <w:tcPr>
                  <w:tcW w:w="393" w:type="pct"/>
                  <w:vAlign w:val="center"/>
                </w:tcPr>
                <w:p>
                  <w:pPr>
                    <w:pStyle w:val="35"/>
                    <w:rPr>
                      <w:color w:val="auto"/>
                      <w:highlight w:val="none"/>
                    </w:rPr>
                  </w:pPr>
                  <w:r>
                    <w:rPr>
                      <w:rFonts w:hint="eastAsia"/>
                      <w:color w:val="auto"/>
                      <w:szCs w:val="22"/>
                      <w:highlight w:val="none"/>
                    </w:rPr>
                    <w:t>2</w:t>
                  </w:r>
                </w:p>
              </w:tc>
              <w:tc>
                <w:tcPr>
                  <w:tcW w:w="423" w:type="pct"/>
                  <w:vMerge w:val="restart"/>
                  <w:vAlign w:val="center"/>
                </w:tcPr>
                <w:p>
                  <w:pPr>
                    <w:pStyle w:val="35"/>
                    <w:rPr>
                      <w:color w:val="auto"/>
                      <w:highlight w:val="none"/>
                    </w:rPr>
                  </w:pPr>
                  <w:r>
                    <w:rPr>
                      <w:rFonts w:hint="eastAsia"/>
                      <w:color w:val="auto"/>
                      <w:highlight w:val="none"/>
                    </w:rPr>
                    <w:t>/</w:t>
                  </w:r>
                </w:p>
              </w:tc>
              <w:tc>
                <w:tcPr>
                  <w:tcW w:w="637" w:type="pct"/>
                  <w:vMerge w:val="restart"/>
                  <w:vAlign w:val="center"/>
                </w:tcPr>
                <w:p>
                  <w:pPr>
                    <w:pStyle w:val="35"/>
                    <w:rPr>
                      <w:color w:val="auto"/>
                      <w:highlight w:val="none"/>
                    </w:rPr>
                  </w:pPr>
                  <w:r>
                    <w:rPr>
                      <w:rFonts w:hint="eastAsia"/>
                      <w:color w:val="auto"/>
                      <w:szCs w:val="22"/>
                      <w:highlight w:val="none"/>
                    </w:rPr>
                    <w:t>混到非标矿里继续作为原料回用于生产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pPr>
                    <w:pStyle w:val="35"/>
                    <w:rPr>
                      <w:color w:val="auto"/>
                      <w:highlight w:val="none"/>
                    </w:rPr>
                  </w:pPr>
                  <w:r>
                    <w:rPr>
                      <w:rFonts w:hint="eastAsia"/>
                      <w:color w:val="auto"/>
                      <w:highlight w:val="none"/>
                    </w:rPr>
                    <w:t>S2</w:t>
                  </w:r>
                </w:p>
              </w:tc>
              <w:tc>
                <w:tcPr>
                  <w:tcW w:w="413" w:type="pct"/>
                  <w:vAlign w:val="center"/>
                </w:tcPr>
                <w:p>
                  <w:pPr>
                    <w:pStyle w:val="35"/>
                    <w:rPr>
                      <w:color w:val="auto"/>
                      <w:highlight w:val="none"/>
                    </w:rPr>
                  </w:pPr>
                  <w:r>
                    <w:rPr>
                      <w:rFonts w:hint="eastAsia"/>
                      <w:color w:val="auto"/>
                      <w:highlight w:val="none"/>
                    </w:rPr>
                    <w:t>废气处理</w:t>
                  </w:r>
                </w:p>
              </w:tc>
              <w:tc>
                <w:tcPr>
                  <w:tcW w:w="389" w:type="pct"/>
                  <w:vAlign w:val="center"/>
                </w:tcPr>
                <w:p>
                  <w:pPr>
                    <w:pStyle w:val="35"/>
                    <w:rPr>
                      <w:color w:val="auto"/>
                      <w:highlight w:val="none"/>
                    </w:rPr>
                  </w:pPr>
                  <w:r>
                    <w:rPr>
                      <w:rFonts w:hint="eastAsia"/>
                      <w:color w:val="auto"/>
                      <w:szCs w:val="22"/>
                      <w:highlight w:val="none"/>
                    </w:rPr>
                    <w:t>收集尘</w:t>
                  </w:r>
                </w:p>
              </w:tc>
              <w:tc>
                <w:tcPr>
                  <w:tcW w:w="487" w:type="pct"/>
                  <w:vAlign w:val="center"/>
                </w:tcPr>
                <w:p>
                  <w:pPr>
                    <w:pStyle w:val="35"/>
                    <w:rPr>
                      <w:color w:val="auto"/>
                      <w:szCs w:val="22"/>
                      <w:highlight w:val="none"/>
                    </w:rPr>
                  </w:pPr>
                  <w:r>
                    <w:rPr>
                      <w:rFonts w:hint="eastAsia"/>
                      <w:color w:val="auto"/>
                      <w:highlight w:val="none"/>
                    </w:rPr>
                    <w:t>精铜矿</w:t>
                  </w:r>
                </w:p>
              </w:tc>
              <w:tc>
                <w:tcPr>
                  <w:tcW w:w="487" w:type="pct"/>
                  <w:vAlign w:val="center"/>
                </w:tcPr>
                <w:p>
                  <w:pPr>
                    <w:pStyle w:val="35"/>
                    <w:rPr>
                      <w:color w:val="auto"/>
                      <w:szCs w:val="22"/>
                      <w:highlight w:val="none"/>
                    </w:rPr>
                  </w:pPr>
                  <w:r>
                    <w:rPr>
                      <w:rFonts w:hint="eastAsia"/>
                      <w:color w:val="auto"/>
                      <w:highlight w:val="none"/>
                    </w:rPr>
                    <w:t>SW59</w:t>
                  </w:r>
                </w:p>
              </w:tc>
              <w:tc>
                <w:tcPr>
                  <w:tcW w:w="749" w:type="pct"/>
                  <w:vAlign w:val="center"/>
                </w:tcPr>
                <w:p>
                  <w:pPr>
                    <w:pStyle w:val="35"/>
                    <w:rPr>
                      <w:color w:val="auto"/>
                      <w:highlight w:val="none"/>
                    </w:rPr>
                  </w:pPr>
                  <w:r>
                    <w:rPr>
                      <w:rFonts w:hint="eastAsia"/>
                      <w:color w:val="auto"/>
                      <w:szCs w:val="22"/>
                      <w:highlight w:val="none"/>
                    </w:rPr>
                    <w:t>900-099-S59</w:t>
                  </w:r>
                </w:p>
              </w:tc>
              <w:tc>
                <w:tcPr>
                  <w:tcW w:w="370" w:type="pct"/>
                  <w:vAlign w:val="center"/>
                </w:tcPr>
                <w:p>
                  <w:pPr>
                    <w:pStyle w:val="35"/>
                    <w:rPr>
                      <w:color w:val="auto"/>
                      <w:highlight w:val="none"/>
                    </w:rPr>
                  </w:pPr>
                  <w:r>
                    <w:rPr>
                      <w:rFonts w:hint="eastAsia"/>
                      <w:color w:val="auto"/>
                      <w:highlight w:val="none"/>
                    </w:rPr>
                    <w:t>一般固废</w:t>
                  </w:r>
                </w:p>
              </w:tc>
              <w:tc>
                <w:tcPr>
                  <w:tcW w:w="373" w:type="pct"/>
                  <w:vAlign w:val="center"/>
                </w:tcPr>
                <w:p>
                  <w:pPr>
                    <w:pStyle w:val="35"/>
                    <w:rPr>
                      <w:color w:val="auto"/>
                      <w:highlight w:val="none"/>
                    </w:rPr>
                  </w:pPr>
                  <w:r>
                    <w:rPr>
                      <w:rFonts w:hint="eastAsia"/>
                      <w:color w:val="auto"/>
                      <w:highlight w:val="none"/>
                    </w:rPr>
                    <w:t>/</w:t>
                  </w:r>
                </w:p>
              </w:tc>
              <w:tc>
                <w:tcPr>
                  <w:tcW w:w="393" w:type="pct"/>
                  <w:vAlign w:val="center"/>
                </w:tcPr>
                <w:p>
                  <w:pPr>
                    <w:pStyle w:val="35"/>
                    <w:rPr>
                      <w:rFonts w:hint="default" w:eastAsia="宋体"/>
                      <w:color w:val="auto"/>
                      <w:highlight w:val="none"/>
                      <w:lang w:val="en-US" w:eastAsia="zh-CN"/>
                    </w:rPr>
                  </w:pPr>
                  <w:r>
                    <w:rPr>
                      <w:rFonts w:hint="eastAsia"/>
                      <w:color w:val="auto"/>
                      <w:szCs w:val="22"/>
                      <w:highlight w:val="none"/>
                      <w:lang w:val="en-US" w:eastAsia="zh-CN"/>
                    </w:rPr>
                    <w:t>171.113</w:t>
                  </w:r>
                </w:p>
              </w:tc>
              <w:tc>
                <w:tcPr>
                  <w:tcW w:w="423" w:type="pct"/>
                  <w:vMerge w:val="continue"/>
                  <w:vAlign w:val="center"/>
                </w:tcPr>
                <w:p>
                  <w:pPr>
                    <w:pStyle w:val="35"/>
                    <w:rPr>
                      <w:color w:val="auto"/>
                      <w:highlight w:val="none"/>
                    </w:rPr>
                  </w:pPr>
                </w:p>
              </w:tc>
              <w:tc>
                <w:tcPr>
                  <w:tcW w:w="637"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pPr>
                    <w:pStyle w:val="35"/>
                    <w:rPr>
                      <w:color w:val="auto"/>
                      <w:highlight w:val="none"/>
                    </w:rPr>
                  </w:pPr>
                  <w:r>
                    <w:rPr>
                      <w:rFonts w:hint="eastAsia"/>
                      <w:color w:val="auto"/>
                      <w:highlight w:val="none"/>
                    </w:rPr>
                    <w:t>S3</w:t>
                  </w:r>
                </w:p>
              </w:tc>
              <w:tc>
                <w:tcPr>
                  <w:tcW w:w="413" w:type="pct"/>
                  <w:vAlign w:val="center"/>
                </w:tcPr>
                <w:p>
                  <w:pPr>
                    <w:pStyle w:val="35"/>
                    <w:rPr>
                      <w:color w:val="auto"/>
                      <w:highlight w:val="none"/>
                    </w:rPr>
                  </w:pPr>
                  <w:r>
                    <w:rPr>
                      <w:rFonts w:hint="eastAsia"/>
                      <w:color w:val="auto"/>
                      <w:highlight w:val="none"/>
                    </w:rPr>
                    <w:t>废气处理</w:t>
                  </w:r>
                </w:p>
              </w:tc>
              <w:tc>
                <w:tcPr>
                  <w:tcW w:w="389" w:type="pct"/>
                  <w:vAlign w:val="center"/>
                </w:tcPr>
                <w:p>
                  <w:pPr>
                    <w:pStyle w:val="35"/>
                    <w:rPr>
                      <w:rFonts w:hint="eastAsia" w:eastAsia="宋体"/>
                      <w:color w:val="auto"/>
                      <w:szCs w:val="22"/>
                      <w:highlight w:val="none"/>
                      <w:lang w:eastAsia="zh-CN"/>
                    </w:rPr>
                  </w:pPr>
                  <w:r>
                    <w:rPr>
                      <w:rFonts w:hint="eastAsia"/>
                      <w:color w:val="auto"/>
                      <w:szCs w:val="22"/>
                      <w:highlight w:val="none"/>
                    </w:rPr>
                    <w:t>除尘器</w:t>
                  </w:r>
                  <w:r>
                    <w:rPr>
                      <w:rFonts w:hint="eastAsia"/>
                      <w:color w:val="auto"/>
                      <w:szCs w:val="22"/>
                      <w:highlight w:val="none"/>
                      <w:lang w:eastAsia="zh-CN"/>
                    </w:rPr>
                    <w:t>废滤芯</w:t>
                  </w:r>
                </w:p>
              </w:tc>
              <w:tc>
                <w:tcPr>
                  <w:tcW w:w="487" w:type="pct"/>
                  <w:vAlign w:val="center"/>
                </w:tcPr>
                <w:p>
                  <w:pPr>
                    <w:pStyle w:val="35"/>
                    <w:rPr>
                      <w:color w:val="auto"/>
                      <w:highlight w:val="none"/>
                    </w:rPr>
                  </w:pPr>
                  <w:r>
                    <w:rPr>
                      <w:rFonts w:hint="eastAsia"/>
                      <w:color w:val="auto"/>
                      <w:highlight w:val="none"/>
                    </w:rPr>
                    <w:t>涤纶</w:t>
                  </w:r>
                </w:p>
              </w:tc>
              <w:tc>
                <w:tcPr>
                  <w:tcW w:w="487" w:type="pct"/>
                  <w:vAlign w:val="center"/>
                </w:tcPr>
                <w:p>
                  <w:pPr>
                    <w:pStyle w:val="35"/>
                    <w:rPr>
                      <w:color w:val="auto"/>
                      <w:highlight w:val="none"/>
                    </w:rPr>
                  </w:pPr>
                  <w:r>
                    <w:rPr>
                      <w:rFonts w:hint="eastAsia"/>
                      <w:color w:val="auto"/>
                      <w:highlight w:val="none"/>
                    </w:rPr>
                    <w:t>SW59</w:t>
                  </w:r>
                </w:p>
              </w:tc>
              <w:tc>
                <w:tcPr>
                  <w:tcW w:w="749" w:type="pct"/>
                  <w:vAlign w:val="center"/>
                </w:tcPr>
                <w:p>
                  <w:pPr>
                    <w:pStyle w:val="35"/>
                    <w:rPr>
                      <w:color w:val="auto"/>
                      <w:szCs w:val="22"/>
                      <w:highlight w:val="none"/>
                    </w:rPr>
                  </w:pPr>
                  <w:r>
                    <w:rPr>
                      <w:rFonts w:hint="eastAsia"/>
                      <w:color w:val="auto"/>
                      <w:szCs w:val="22"/>
                      <w:highlight w:val="none"/>
                    </w:rPr>
                    <w:t>900-009-S59</w:t>
                  </w:r>
                </w:p>
              </w:tc>
              <w:tc>
                <w:tcPr>
                  <w:tcW w:w="370" w:type="pct"/>
                  <w:vAlign w:val="center"/>
                </w:tcPr>
                <w:p>
                  <w:pPr>
                    <w:pStyle w:val="35"/>
                    <w:rPr>
                      <w:color w:val="auto"/>
                      <w:highlight w:val="none"/>
                    </w:rPr>
                  </w:pPr>
                  <w:r>
                    <w:rPr>
                      <w:rFonts w:hint="eastAsia"/>
                      <w:color w:val="auto"/>
                      <w:highlight w:val="none"/>
                    </w:rPr>
                    <w:t>一般固废</w:t>
                  </w:r>
                </w:p>
              </w:tc>
              <w:tc>
                <w:tcPr>
                  <w:tcW w:w="373" w:type="pct"/>
                  <w:vAlign w:val="center"/>
                </w:tcPr>
                <w:p>
                  <w:pPr>
                    <w:pStyle w:val="35"/>
                    <w:rPr>
                      <w:color w:val="auto"/>
                      <w:highlight w:val="none"/>
                    </w:rPr>
                  </w:pPr>
                  <w:r>
                    <w:rPr>
                      <w:rFonts w:hint="eastAsia"/>
                      <w:color w:val="auto"/>
                      <w:highlight w:val="none"/>
                    </w:rPr>
                    <w:t>/</w:t>
                  </w:r>
                </w:p>
              </w:tc>
              <w:tc>
                <w:tcPr>
                  <w:tcW w:w="393" w:type="pct"/>
                  <w:vAlign w:val="center"/>
                </w:tcPr>
                <w:p>
                  <w:pPr>
                    <w:pStyle w:val="35"/>
                    <w:rPr>
                      <w:color w:val="auto"/>
                      <w:szCs w:val="22"/>
                      <w:highlight w:val="none"/>
                    </w:rPr>
                  </w:pPr>
                  <w:r>
                    <w:rPr>
                      <w:rFonts w:hint="eastAsia"/>
                      <w:color w:val="auto"/>
                      <w:szCs w:val="22"/>
                      <w:highlight w:val="none"/>
                    </w:rPr>
                    <w:t>0.005</w:t>
                  </w:r>
                </w:p>
              </w:tc>
              <w:tc>
                <w:tcPr>
                  <w:tcW w:w="423" w:type="pct"/>
                  <w:vAlign w:val="center"/>
                </w:tcPr>
                <w:p>
                  <w:pPr>
                    <w:pStyle w:val="35"/>
                    <w:rPr>
                      <w:color w:val="auto"/>
                      <w:highlight w:val="none"/>
                    </w:rPr>
                  </w:pPr>
                  <w:r>
                    <w:rPr>
                      <w:rFonts w:hint="eastAsia"/>
                      <w:color w:val="auto"/>
                      <w:highlight w:val="none"/>
                    </w:rPr>
                    <w:t>袋装</w:t>
                  </w:r>
                </w:p>
              </w:tc>
              <w:tc>
                <w:tcPr>
                  <w:tcW w:w="637" w:type="pct"/>
                  <w:vAlign w:val="center"/>
                </w:tcPr>
                <w:p>
                  <w:pPr>
                    <w:pStyle w:val="35"/>
                    <w:rPr>
                      <w:color w:val="auto"/>
                      <w:highlight w:val="none"/>
                    </w:rPr>
                  </w:pPr>
                  <w:r>
                    <w:rPr>
                      <w:rFonts w:hint="eastAsia"/>
                      <w:color w:val="auto"/>
                      <w:highlight w:val="none"/>
                      <w:lang w:eastAsia="zh-CN"/>
                    </w:rPr>
                    <w:t>废滤芯</w:t>
                  </w:r>
                  <w:r>
                    <w:rPr>
                      <w:rFonts w:hint="eastAsia"/>
                      <w:color w:val="auto"/>
                      <w:highlight w:val="none"/>
                    </w:rPr>
                    <w:t>收集后由厂家回收处置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73" w:type="pct"/>
                  <w:vAlign w:val="center"/>
                </w:tcPr>
                <w:p>
                  <w:pPr>
                    <w:pStyle w:val="35"/>
                    <w:rPr>
                      <w:color w:val="auto"/>
                      <w:highlight w:val="none"/>
                    </w:rPr>
                  </w:pPr>
                  <w:r>
                    <w:rPr>
                      <w:rFonts w:hint="eastAsia"/>
                      <w:color w:val="auto"/>
                      <w:highlight w:val="none"/>
                    </w:rPr>
                    <w:t>S4</w:t>
                  </w:r>
                </w:p>
              </w:tc>
              <w:tc>
                <w:tcPr>
                  <w:tcW w:w="413" w:type="pct"/>
                  <w:vAlign w:val="center"/>
                </w:tcPr>
                <w:p>
                  <w:pPr>
                    <w:pStyle w:val="35"/>
                    <w:rPr>
                      <w:color w:val="auto"/>
                      <w:highlight w:val="none"/>
                    </w:rPr>
                  </w:pPr>
                  <w:r>
                    <w:rPr>
                      <w:rFonts w:hint="eastAsia"/>
                      <w:color w:val="auto"/>
                      <w:highlight w:val="none"/>
                    </w:rPr>
                    <w:t>设备检修</w:t>
                  </w:r>
                </w:p>
              </w:tc>
              <w:tc>
                <w:tcPr>
                  <w:tcW w:w="389" w:type="pct"/>
                  <w:vAlign w:val="center"/>
                </w:tcPr>
                <w:p>
                  <w:pPr>
                    <w:pStyle w:val="35"/>
                    <w:rPr>
                      <w:color w:val="auto"/>
                      <w:highlight w:val="none"/>
                    </w:rPr>
                  </w:pPr>
                  <w:r>
                    <w:rPr>
                      <w:rFonts w:hint="eastAsia"/>
                      <w:color w:val="auto"/>
                      <w:highlight w:val="none"/>
                    </w:rPr>
                    <w:t>废机油</w:t>
                  </w:r>
                </w:p>
              </w:tc>
              <w:tc>
                <w:tcPr>
                  <w:tcW w:w="487" w:type="pct"/>
                  <w:vAlign w:val="center"/>
                </w:tcPr>
                <w:p>
                  <w:pPr>
                    <w:pStyle w:val="35"/>
                    <w:rPr>
                      <w:color w:val="auto"/>
                      <w:szCs w:val="22"/>
                      <w:highlight w:val="none"/>
                    </w:rPr>
                  </w:pPr>
                  <w:r>
                    <w:rPr>
                      <w:rFonts w:hint="eastAsia"/>
                      <w:color w:val="auto"/>
                      <w:szCs w:val="22"/>
                      <w:highlight w:val="none"/>
                    </w:rPr>
                    <w:t>油类</w:t>
                  </w:r>
                </w:p>
              </w:tc>
              <w:tc>
                <w:tcPr>
                  <w:tcW w:w="487" w:type="pct"/>
                  <w:vAlign w:val="center"/>
                </w:tcPr>
                <w:p>
                  <w:pPr>
                    <w:pStyle w:val="35"/>
                    <w:rPr>
                      <w:color w:val="auto"/>
                      <w:highlight w:val="none"/>
                    </w:rPr>
                  </w:pPr>
                  <w:r>
                    <w:rPr>
                      <w:color w:val="auto"/>
                      <w:highlight w:val="none"/>
                    </w:rPr>
                    <w:t>HW</w:t>
                  </w:r>
                  <w:r>
                    <w:rPr>
                      <w:rFonts w:hint="eastAsia"/>
                      <w:color w:val="auto"/>
                      <w:highlight w:val="none"/>
                    </w:rPr>
                    <w:t>08</w:t>
                  </w:r>
                </w:p>
              </w:tc>
              <w:tc>
                <w:tcPr>
                  <w:tcW w:w="749" w:type="pct"/>
                  <w:vAlign w:val="center"/>
                </w:tcPr>
                <w:p>
                  <w:pPr>
                    <w:pStyle w:val="35"/>
                    <w:rPr>
                      <w:color w:val="auto"/>
                      <w:szCs w:val="22"/>
                      <w:highlight w:val="none"/>
                    </w:rPr>
                  </w:pPr>
                  <w:r>
                    <w:rPr>
                      <w:rFonts w:hint="eastAsia"/>
                      <w:color w:val="auto"/>
                      <w:highlight w:val="none"/>
                    </w:rPr>
                    <w:t>900-214-08</w:t>
                  </w:r>
                </w:p>
              </w:tc>
              <w:tc>
                <w:tcPr>
                  <w:tcW w:w="370" w:type="pct"/>
                  <w:vAlign w:val="center"/>
                </w:tcPr>
                <w:p>
                  <w:pPr>
                    <w:pStyle w:val="35"/>
                    <w:rPr>
                      <w:color w:val="auto"/>
                      <w:highlight w:val="none"/>
                    </w:rPr>
                  </w:pPr>
                  <w:r>
                    <w:rPr>
                      <w:rFonts w:hint="eastAsia"/>
                      <w:color w:val="auto"/>
                      <w:highlight w:val="none"/>
                    </w:rPr>
                    <w:t>危险废物</w:t>
                  </w:r>
                </w:p>
              </w:tc>
              <w:tc>
                <w:tcPr>
                  <w:tcW w:w="373" w:type="pct"/>
                  <w:vAlign w:val="center"/>
                </w:tcPr>
                <w:p>
                  <w:pPr>
                    <w:pStyle w:val="35"/>
                    <w:rPr>
                      <w:color w:val="auto"/>
                      <w:highlight w:val="none"/>
                    </w:rPr>
                  </w:pPr>
                  <w:r>
                    <w:rPr>
                      <w:rFonts w:hint="eastAsia"/>
                      <w:color w:val="auto"/>
                      <w:highlight w:val="none"/>
                    </w:rPr>
                    <w:t>T，I</w:t>
                  </w:r>
                </w:p>
              </w:tc>
              <w:tc>
                <w:tcPr>
                  <w:tcW w:w="393" w:type="pct"/>
                  <w:vAlign w:val="center"/>
                </w:tcPr>
                <w:p>
                  <w:pPr>
                    <w:pStyle w:val="35"/>
                    <w:rPr>
                      <w:color w:val="auto"/>
                      <w:highlight w:val="none"/>
                    </w:rPr>
                  </w:pPr>
                  <w:r>
                    <w:rPr>
                      <w:rFonts w:hint="eastAsia"/>
                      <w:color w:val="auto"/>
                      <w:highlight w:val="none"/>
                    </w:rPr>
                    <w:t>0.24</w:t>
                  </w:r>
                </w:p>
              </w:tc>
              <w:tc>
                <w:tcPr>
                  <w:tcW w:w="423" w:type="pct"/>
                  <w:vAlign w:val="center"/>
                </w:tcPr>
                <w:p>
                  <w:pPr>
                    <w:pStyle w:val="35"/>
                    <w:rPr>
                      <w:color w:val="auto"/>
                      <w:highlight w:val="none"/>
                    </w:rPr>
                  </w:pPr>
                  <w:r>
                    <w:rPr>
                      <w:rFonts w:hint="eastAsia"/>
                      <w:color w:val="auto"/>
                      <w:highlight w:val="none"/>
                    </w:rPr>
                    <w:t>铁桶密封</w:t>
                  </w:r>
                </w:p>
              </w:tc>
              <w:tc>
                <w:tcPr>
                  <w:tcW w:w="637" w:type="pct"/>
                  <w:vAlign w:val="center"/>
                </w:tcPr>
                <w:p>
                  <w:pPr>
                    <w:pStyle w:val="35"/>
                    <w:rPr>
                      <w:color w:val="auto"/>
                      <w:highlight w:val="none"/>
                    </w:rPr>
                  </w:pPr>
                  <w:r>
                    <w:rPr>
                      <w:rFonts w:hint="eastAsia"/>
                      <w:color w:val="auto"/>
                      <w:highlight w:val="none"/>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73" w:type="pct"/>
                  <w:vAlign w:val="center"/>
                </w:tcPr>
                <w:p>
                  <w:pPr>
                    <w:pStyle w:val="35"/>
                    <w:rPr>
                      <w:color w:val="auto"/>
                      <w:highlight w:val="none"/>
                    </w:rPr>
                  </w:pPr>
                  <w:r>
                    <w:rPr>
                      <w:rFonts w:hint="eastAsia"/>
                      <w:color w:val="auto"/>
                      <w:highlight w:val="none"/>
                    </w:rPr>
                    <w:t>S5</w:t>
                  </w:r>
                </w:p>
              </w:tc>
              <w:tc>
                <w:tcPr>
                  <w:tcW w:w="413" w:type="pct"/>
                  <w:vAlign w:val="center"/>
                </w:tcPr>
                <w:p>
                  <w:pPr>
                    <w:pStyle w:val="35"/>
                    <w:rPr>
                      <w:color w:val="auto"/>
                      <w:highlight w:val="none"/>
                    </w:rPr>
                  </w:pPr>
                  <w:r>
                    <w:rPr>
                      <w:rFonts w:hint="eastAsia"/>
                      <w:color w:val="auto"/>
                      <w:highlight w:val="none"/>
                    </w:rPr>
                    <w:t>设备检修</w:t>
                  </w:r>
                </w:p>
              </w:tc>
              <w:tc>
                <w:tcPr>
                  <w:tcW w:w="389" w:type="pct"/>
                  <w:vAlign w:val="center"/>
                </w:tcPr>
                <w:p>
                  <w:pPr>
                    <w:pStyle w:val="35"/>
                    <w:rPr>
                      <w:color w:val="auto"/>
                      <w:highlight w:val="none"/>
                    </w:rPr>
                  </w:pPr>
                  <w:r>
                    <w:rPr>
                      <w:rFonts w:hint="eastAsia"/>
                      <w:color w:val="auto"/>
                      <w:highlight w:val="none"/>
                    </w:rPr>
                    <w:t>废油桶</w:t>
                  </w:r>
                </w:p>
              </w:tc>
              <w:tc>
                <w:tcPr>
                  <w:tcW w:w="487" w:type="pct"/>
                  <w:vAlign w:val="center"/>
                </w:tcPr>
                <w:p>
                  <w:pPr>
                    <w:pStyle w:val="35"/>
                    <w:rPr>
                      <w:color w:val="auto"/>
                      <w:szCs w:val="22"/>
                      <w:highlight w:val="none"/>
                    </w:rPr>
                  </w:pPr>
                  <w:r>
                    <w:rPr>
                      <w:rFonts w:hint="eastAsia"/>
                      <w:color w:val="auto"/>
                      <w:szCs w:val="22"/>
                      <w:highlight w:val="none"/>
                    </w:rPr>
                    <w:t>油类</w:t>
                  </w:r>
                </w:p>
              </w:tc>
              <w:tc>
                <w:tcPr>
                  <w:tcW w:w="487" w:type="pct"/>
                  <w:vAlign w:val="center"/>
                </w:tcPr>
                <w:p>
                  <w:pPr>
                    <w:pStyle w:val="35"/>
                    <w:rPr>
                      <w:color w:val="auto"/>
                      <w:highlight w:val="none"/>
                    </w:rPr>
                  </w:pPr>
                  <w:r>
                    <w:rPr>
                      <w:rFonts w:hint="eastAsia"/>
                      <w:color w:val="auto"/>
                      <w:highlight w:val="none"/>
                    </w:rPr>
                    <w:t>HW49</w:t>
                  </w:r>
                </w:p>
              </w:tc>
              <w:tc>
                <w:tcPr>
                  <w:tcW w:w="749" w:type="pct"/>
                  <w:vAlign w:val="center"/>
                </w:tcPr>
                <w:p>
                  <w:pPr>
                    <w:pStyle w:val="35"/>
                    <w:rPr>
                      <w:color w:val="auto"/>
                      <w:highlight w:val="none"/>
                    </w:rPr>
                  </w:pPr>
                  <w:r>
                    <w:rPr>
                      <w:rFonts w:hint="eastAsia"/>
                      <w:color w:val="auto"/>
                      <w:highlight w:val="none"/>
                    </w:rPr>
                    <w:t>900-041-49</w:t>
                  </w:r>
                </w:p>
              </w:tc>
              <w:tc>
                <w:tcPr>
                  <w:tcW w:w="370" w:type="pct"/>
                  <w:vAlign w:val="center"/>
                </w:tcPr>
                <w:p>
                  <w:pPr>
                    <w:pStyle w:val="35"/>
                    <w:rPr>
                      <w:color w:val="auto"/>
                      <w:highlight w:val="none"/>
                    </w:rPr>
                  </w:pPr>
                  <w:r>
                    <w:rPr>
                      <w:rFonts w:hint="eastAsia"/>
                      <w:color w:val="auto"/>
                      <w:highlight w:val="none"/>
                    </w:rPr>
                    <w:t>危险废物</w:t>
                  </w:r>
                </w:p>
              </w:tc>
              <w:tc>
                <w:tcPr>
                  <w:tcW w:w="373" w:type="pct"/>
                  <w:vAlign w:val="center"/>
                </w:tcPr>
                <w:p>
                  <w:pPr>
                    <w:pStyle w:val="35"/>
                    <w:rPr>
                      <w:color w:val="auto"/>
                      <w:highlight w:val="none"/>
                    </w:rPr>
                  </w:pPr>
                  <w:r>
                    <w:rPr>
                      <w:rFonts w:hint="eastAsia"/>
                      <w:color w:val="auto"/>
                      <w:highlight w:val="none"/>
                    </w:rPr>
                    <w:t>T/In</w:t>
                  </w:r>
                </w:p>
              </w:tc>
              <w:tc>
                <w:tcPr>
                  <w:tcW w:w="393" w:type="pct"/>
                  <w:vAlign w:val="center"/>
                </w:tcPr>
                <w:p>
                  <w:pPr>
                    <w:pStyle w:val="35"/>
                    <w:rPr>
                      <w:color w:val="auto"/>
                      <w:highlight w:val="none"/>
                    </w:rPr>
                  </w:pPr>
                  <w:r>
                    <w:rPr>
                      <w:rFonts w:hint="eastAsia"/>
                      <w:color w:val="auto"/>
                      <w:highlight w:val="none"/>
                    </w:rPr>
                    <w:t>0.03</w:t>
                  </w:r>
                </w:p>
              </w:tc>
              <w:tc>
                <w:tcPr>
                  <w:tcW w:w="423" w:type="pct"/>
                  <w:vAlign w:val="center"/>
                </w:tcPr>
                <w:p>
                  <w:pPr>
                    <w:pStyle w:val="35"/>
                    <w:rPr>
                      <w:color w:val="auto"/>
                      <w:highlight w:val="none"/>
                    </w:rPr>
                  </w:pPr>
                  <w:r>
                    <w:rPr>
                      <w:rFonts w:hint="eastAsia"/>
                      <w:color w:val="auto"/>
                      <w:highlight w:val="none"/>
                    </w:rPr>
                    <w:t>袋装</w:t>
                  </w:r>
                </w:p>
              </w:tc>
              <w:tc>
                <w:tcPr>
                  <w:tcW w:w="637" w:type="pct"/>
                  <w:vAlign w:val="center"/>
                </w:tcPr>
                <w:p>
                  <w:pPr>
                    <w:pStyle w:val="35"/>
                    <w:rPr>
                      <w:color w:val="auto"/>
                      <w:highlight w:val="none"/>
                    </w:rPr>
                  </w:pPr>
                  <w:r>
                    <w:rPr>
                      <w:rFonts w:hint="eastAsia"/>
                      <w:color w:val="auto"/>
                      <w:highlight w:val="none"/>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 w:hRule="atLeast"/>
              </w:trPr>
              <w:tc>
                <w:tcPr>
                  <w:tcW w:w="273" w:type="pct"/>
                  <w:vAlign w:val="center"/>
                </w:tcPr>
                <w:p>
                  <w:pPr>
                    <w:pStyle w:val="35"/>
                    <w:rPr>
                      <w:color w:val="auto"/>
                      <w:highlight w:val="none"/>
                    </w:rPr>
                  </w:pPr>
                  <w:r>
                    <w:rPr>
                      <w:rFonts w:hint="eastAsia"/>
                      <w:color w:val="auto"/>
                      <w:highlight w:val="none"/>
                    </w:rPr>
                    <w:t>S6</w:t>
                  </w:r>
                </w:p>
              </w:tc>
              <w:tc>
                <w:tcPr>
                  <w:tcW w:w="413" w:type="pct"/>
                  <w:vAlign w:val="center"/>
                </w:tcPr>
                <w:p>
                  <w:pPr>
                    <w:pStyle w:val="35"/>
                    <w:rPr>
                      <w:color w:val="auto"/>
                      <w:highlight w:val="none"/>
                    </w:rPr>
                  </w:pPr>
                  <w:r>
                    <w:rPr>
                      <w:rFonts w:hint="eastAsia"/>
                      <w:color w:val="auto"/>
                      <w:highlight w:val="none"/>
                    </w:rPr>
                    <w:t>设备检修</w:t>
                  </w:r>
                </w:p>
              </w:tc>
              <w:tc>
                <w:tcPr>
                  <w:tcW w:w="389" w:type="pct"/>
                  <w:vAlign w:val="center"/>
                </w:tcPr>
                <w:p>
                  <w:pPr>
                    <w:pStyle w:val="35"/>
                    <w:rPr>
                      <w:color w:val="auto"/>
                      <w:highlight w:val="none"/>
                    </w:rPr>
                  </w:pPr>
                  <w:r>
                    <w:rPr>
                      <w:rFonts w:hint="eastAsia"/>
                      <w:color w:val="auto"/>
                      <w:szCs w:val="22"/>
                      <w:highlight w:val="none"/>
                    </w:rPr>
                    <w:t>含油抹布</w:t>
                  </w:r>
                </w:p>
              </w:tc>
              <w:tc>
                <w:tcPr>
                  <w:tcW w:w="487" w:type="pct"/>
                  <w:vAlign w:val="center"/>
                </w:tcPr>
                <w:p>
                  <w:pPr>
                    <w:pStyle w:val="35"/>
                    <w:rPr>
                      <w:color w:val="auto"/>
                      <w:szCs w:val="22"/>
                      <w:highlight w:val="none"/>
                    </w:rPr>
                  </w:pPr>
                  <w:r>
                    <w:rPr>
                      <w:rFonts w:hint="eastAsia"/>
                      <w:color w:val="auto"/>
                      <w:szCs w:val="22"/>
                      <w:highlight w:val="none"/>
                    </w:rPr>
                    <w:t>油类</w:t>
                  </w:r>
                </w:p>
              </w:tc>
              <w:tc>
                <w:tcPr>
                  <w:tcW w:w="487" w:type="pct"/>
                  <w:vAlign w:val="center"/>
                </w:tcPr>
                <w:p>
                  <w:pPr>
                    <w:pStyle w:val="35"/>
                    <w:rPr>
                      <w:color w:val="auto"/>
                      <w:highlight w:val="none"/>
                    </w:rPr>
                  </w:pPr>
                  <w:r>
                    <w:rPr>
                      <w:rFonts w:hint="eastAsia"/>
                      <w:color w:val="auto"/>
                      <w:highlight w:val="none"/>
                    </w:rPr>
                    <w:t>HW49</w:t>
                  </w:r>
                </w:p>
              </w:tc>
              <w:tc>
                <w:tcPr>
                  <w:tcW w:w="749" w:type="pct"/>
                  <w:vAlign w:val="center"/>
                </w:tcPr>
                <w:p>
                  <w:pPr>
                    <w:pStyle w:val="35"/>
                    <w:rPr>
                      <w:color w:val="auto"/>
                      <w:szCs w:val="22"/>
                      <w:highlight w:val="none"/>
                    </w:rPr>
                  </w:pPr>
                  <w:r>
                    <w:rPr>
                      <w:rFonts w:hint="eastAsia"/>
                      <w:color w:val="auto"/>
                      <w:highlight w:val="none"/>
                    </w:rPr>
                    <w:t>900-041-49</w:t>
                  </w:r>
                </w:p>
              </w:tc>
              <w:tc>
                <w:tcPr>
                  <w:tcW w:w="370" w:type="pct"/>
                  <w:vAlign w:val="center"/>
                </w:tcPr>
                <w:p>
                  <w:pPr>
                    <w:pStyle w:val="35"/>
                    <w:rPr>
                      <w:color w:val="auto"/>
                      <w:highlight w:val="none"/>
                    </w:rPr>
                  </w:pPr>
                  <w:r>
                    <w:rPr>
                      <w:rFonts w:hint="eastAsia"/>
                      <w:color w:val="auto"/>
                      <w:highlight w:val="none"/>
                    </w:rPr>
                    <w:t>危险废物</w:t>
                  </w:r>
                </w:p>
              </w:tc>
              <w:tc>
                <w:tcPr>
                  <w:tcW w:w="373" w:type="pct"/>
                  <w:vAlign w:val="center"/>
                </w:tcPr>
                <w:p>
                  <w:pPr>
                    <w:pStyle w:val="35"/>
                    <w:rPr>
                      <w:color w:val="auto"/>
                      <w:highlight w:val="none"/>
                    </w:rPr>
                  </w:pPr>
                  <w:r>
                    <w:rPr>
                      <w:rFonts w:hint="eastAsia"/>
                      <w:color w:val="auto"/>
                      <w:highlight w:val="none"/>
                    </w:rPr>
                    <w:t>T/In</w:t>
                  </w:r>
                </w:p>
              </w:tc>
              <w:tc>
                <w:tcPr>
                  <w:tcW w:w="393" w:type="pct"/>
                  <w:vAlign w:val="center"/>
                </w:tcPr>
                <w:p>
                  <w:pPr>
                    <w:pStyle w:val="35"/>
                    <w:rPr>
                      <w:color w:val="auto"/>
                      <w:highlight w:val="none"/>
                    </w:rPr>
                  </w:pPr>
                  <w:r>
                    <w:rPr>
                      <w:rFonts w:hint="eastAsia"/>
                      <w:color w:val="auto"/>
                      <w:highlight w:val="none"/>
                    </w:rPr>
                    <w:t>0.02</w:t>
                  </w:r>
                </w:p>
              </w:tc>
              <w:tc>
                <w:tcPr>
                  <w:tcW w:w="423" w:type="pct"/>
                  <w:vAlign w:val="center"/>
                </w:tcPr>
                <w:p>
                  <w:pPr>
                    <w:pStyle w:val="35"/>
                    <w:rPr>
                      <w:color w:val="auto"/>
                      <w:highlight w:val="none"/>
                    </w:rPr>
                  </w:pPr>
                  <w:r>
                    <w:rPr>
                      <w:rFonts w:hint="eastAsia"/>
                      <w:color w:val="auto"/>
                      <w:highlight w:val="none"/>
                    </w:rPr>
                    <w:t>塑料袋收集后密封</w:t>
                  </w:r>
                </w:p>
              </w:tc>
              <w:tc>
                <w:tcPr>
                  <w:tcW w:w="637" w:type="pct"/>
                  <w:vAlign w:val="center"/>
                </w:tcPr>
                <w:p>
                  <w:pPr>
                    <w:pStyle w:val="35"/>
                    <w:rPr>
                      <w:color w:val="auto"/>
                      <w:highlight w:val="none"/>
                    </w:rPr>
                  </w:pPr>
                  <w:r>
                    <w:rPr>
                      <w:rFonts w:hint="eastAsia"/>
                      <w:color w:val="auto"/>
                      <w:highlight w:val="none"/>
                    </w:rPr>
                    <w:t>委托有资质的单位处置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3" w:type="pct"/>
                  <w:vAlign w:val="center"/>
                </w:tcPr>
                <w:p>
                  <w:pPr>
                    <w:pStyle w:val="35"/>
                    <w:rPr>
                      <w:color w:val="auto"/>
                      <w:highlight w:val="none"/>
                    </w:rPr>
                  </w:pPr>
                  <w:r>
                    <w:rPr>
                      <w:rFonts w:hint="eastAsia"/>
                      <w:color w:val="auto"/>
                      <w:highlight w:val="none"/>
                    </w:rPr>
                    <w:t>S7</w:t>
                  </w:r>
                </w:p>
              </w:tc>
              <w:tc>
                <w:tcPr>
                  <w:tcW w:w="413" w:type="pct"/>
                  <w:vAlign w:val="center"/>
                </w:tcPr>
                <w:p>
                  <w:pPr>
                    <w:pStyle w:val="35"/>
                    <w:rPr>
                      <w:color w:val="auto"/>
                      <w:highlight w:val="none"/>
                    </w:rPr>
                  </w:pPr>
                  <w:r>
                    <w:rPr>
                      <w:rFonts w:hint="eastAsia"/>
                      <w:color w:val="auto"/>
                      <w:highlight w:val="none"/>
                    </w:rPr>
                    <w:t>/</w:t>
                  </w:r>
                </w:p>
              </w:tc>
              <w:tc>
                <w:tcPr>
                  <w:tcW w:w="389" w:type="pct"/>
                  <w:vAlign w:val="center"/>
                </w:tcPr>
                <w:p>
                  <w:pPr>
                    <w:pStyle w:val="35"/>
                    <w:rPr>
                      <w:color w:val="auto"/>
                      <w:highlight w:val="none"/>
                    </w:rPr>
                  </w:pPr>
                  <w:r>
                    <w:rPr>
                      <w:rFonts w:hint="eastAsia"/>
                      <w:color w:val="auto"/>
                      <w:highlight w:val="none"/>
                    </w:rPr>
                    <w:t>生活垃圾</w:t>
                  </w:r>
                </w:p>
              </w:tc>
              <w:tc>
                <w:tcPr>
                  <w:tcW w:w="487" w:type="pct"/>
                  <w:vAlign w:val="center"/>
                </w:tcPr>
                <w:p>
                  <w:pPr>
                    <w:pStyle w:val="35"/>
                    <w:rPr>
                      <w:color w:val="auto"/>
                      <w:highlight w:val="none"/>
                    </w:rPr>
                  </w:pPr>
                  <w:r>
                    <w:rPr>
                      <w:rFonts w:hint="eastAsia"/>
                      <w:color w:val="auto"/>
                      <w:highlight w:val="none"/>
                    </w:rPr>
                    <w:t>纸屑、果皮、塑料盒等</w:t>
                  </w:r>
                </w:p>
              </w:tc>
              <w:tc>
                <w:tcPr>
                  <w:tcW w:w="487" w:type="pct"/>
                  <w:vAlign w:val="center"/>
                </w:tcPr>
                <w:p>
                  <w:pPr>
                    <w:pStyle w:val="35"/>
                    <w:rPr>
                      <w:color w:val="auto"/>
                      <w:highlight w:val="none"/>
                    </w:rPr>
                  </w:pPr>
                  <w:r>
                    <w:rPr>
                      <w:rFonts w:hint="eastAsia"/>
                      <w:color w:val="auto"/>
                      <w:highlight w:val="none"/>
                    </w:rPr>
                    <w:t>SW64</w:t>
                  </w:r>
                </w:p>
              </w:tc>
              <w:tc>
                <w:tcPr>
                  <w:tcW w:w="749" w:type="pct"/>
                  <w:vAlign w:val="center"/>
                </w:tcPr>
                <w:p>
                  <w:pPr>
                    <w:pStyle w:val="35"/>
                    <w:rPr>
                      <w:color w:val="auto"/>
                      <w:highlight w:val="none"/>
                    </w:rPr>
                  </w:pPr>
                  <w:r>
                    <w:rPr>
                      <w:rFonts w:hint="eastAsia"/>
                      <w:color w:val="auto"/>
                      <w:szCs w:val="22"/>
                      <w:highlight w:val="none"/>
                    </w:rPr>
                    <w:t>900-099-S64</w:t>
                  </w:r>
                </w:p>
              </w:tc>
              <w:tc>
                <w:tcPr>
                  <w:tcW w:w="370" w:type="pct"/>
                  <w:vAlign w:val="center"/>
                </w:tcPr>
                <w:p>
                  <w:pPr>
                    <w:pStyle w:val="35"/>
                    <w:rPr>
                      <w:color w:val="auto"/>
                      <w:highlight w:val="none"/>
                    </w:rPr>
                  </w:pPr>
                  <w:r>
                    <w:rPr>
                      <w:rFonts w:hint="eastAsia"/>
                      <w:color w:val="auto"/>
                      <w:highlight w:val="none"/>
                    </w:rPr>
                    <w:t>生活垃圾</w:t>
                  </w:r>
                </w:p>
              </w:tc>
              <w:tc>
                <w:tcPr>
                  <w:tcW w:w="373" w:type="pct"/>
                  <w:vAlign w:val="center"/>
                </w:tcPr>
                <w:p>
                  <w:pPr>
                    <w:pStyle w:val="35"/>
                    <w:rPr>
                      <w:color w:val="auto"/>
                      <w:highlight w:val="none"/>
                    </w:rPr>
                  </w:pPr>
                  <w:r>
                    <w:rPr>
                      <w:rFonts w:hint="eastAsia"/>
                      <w:color w:val="auto"/>
                      <w:highlight w:val="none"/>
                    </w:rPr>
                    <w:t>/</w:t>
                  </w:r>
                </w:p>
              </w:tc>
              <w:tc>
                <w:tcPr>
                  <w:tcW w:w="393" w:type="pct"/>
                  <w:vAlign w:val="center"/>
                </w:tcPr>
                <w:p>
                  <w:pPr>
                    <w:pStyle w:val="35"/>
                    <w:rPr>
                      <w:color w:val="auto"/>
                      <w:highlight w:val="none"/>
                    </w:rPr>
                  </w:pPr>
                  <w:r>
                    <w:rPr>
                      <w:rFonts w:hint="eastAsia"/>
                      <w:color w:val="auto"/>
                      <w:highlight w:val="none"/>
                    </w:rPr>
                    <w:t>2.97</w:t>
                  </w:r>
                </w:p>
              </w:tc>
              <w:tc>
                <w:tcPr>
                  <w:tcW w:w="423" w:type="pct"/>
                  <w:vAlign w:val="center"/>
                </w:tcPr>
                <w:p>
                  <w:pPr>
                    <w:pStyle w:val="35"/>
                    <w:rPr>
                      <w:color w:val="auto"/>
                      <w:highlight w:val="none"/>
                    </w:rPr>
                  </w:pPr>
                  <w:r>
                    <w:rPr>
                      <w:rFonts w:hint="eastAsia"/>
                      <w:color w:val="auto"/>
                      <w:highlight w:val="none"/>
                    </w:rPr>
                    <w:t>垃圾收集桶</w:t>
                  </w:r>
                </w:p>
              </w:tc>
              <w:tc>
                <w:tcPr>
                  <w:tcW w:w="637" w:type="pct"/>
                  <w:vAlign w:val="center"/>
                </w:tcPr>
                <w:p>
                  <w:pPr>
                    <w:pStyle w:val="35"/>
                    <w:rPr>
                      <w:color w:val="auto"/>
                      <w:highlight w:val="none"/>
                    </w:rPr>
                  </w:pPr>
                  <w:r>
                    <w:rPr>
                      <w:rFonts w:hint="eastAsia"/>
                      <w:color w:val="auto"/>
                      <w:szCs w:val="22"/>
                      <w:highlight w:val="none"/>
                    </w:rPr>
                    <w:t>环卫部门处置</w:t>
                  </w:r>
                </w:p>
              </w:tc>
            </w:tr>
          </w:tbl>
          <w:p>
            <w:pPr>
              <w:pStyle w:val="42"/>
              <w:tabs>
                <w:tab w:val="left" w:pos="0"/>
              </w:tabs>
              <w:rPr>
                <w:color w:val="auto"/>
                <w:highlight w:val="none"/>
              </w:rPr>
            </w:pPr>
            <w:r>
              <w:rPr>
                <w:rFonts w:hint="eastAsia"/>
                <w:color w:val="auto"/>
                <w:highlight w:val="none"/>
              </w:rPr>
              <w:t>4.2.4.2 环境管理要求</w:t>
            </w:r>
          </w:p>
          <w:p>
            <w:pPr>
              <w:pStyle w:val="32"/>
              <w:ind w:firstLine="480"/>
              <w:rPr>
                <w:color w:val="auto"/>
                <w:highlight w:val="none"/>
              </w:rPr>
            </w:pPr>
            <w:r>
              <w:rPr>
                <w:rFonts w:hint="eastAsia"/>
                <w:color w:val="auto"/>
                <w:highlight w:val="none"/>
                <w:lang w:val="en-US" w:eastAsia="zh-CN"/>
              </w:rPr>
              <w:t>1.</w:t>
            </w:r>
            <w:r>
              <w:rPr>
                <w:rFonts w:hint="eastAsia"/>
                <w:color w:val="auto"/>
                <w:highlight w:val="none"/>
              </w:rPr>
              <w:t>一般</w:t>
            </w:r>
            <w:r>
              <w:rPr>
                <w:color w:val="auto"/>
                <w:highlight w:val="none"/>
              </w:rPr>
              <w:t>工业固废</w:t>
            </w:r>
          </w:p>
          <w:p>
            <w:pPr>
              <w:pStyle w:val="32"/>
              <w:ind w:firstLine="480"/>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）初期雨水池、沉淀池沉渣、除尘器收集粉尘</w:t>
            </w:r>
          </w:p>
          <w:p>
            <w:pPr>
              <w:pStyle w:val="32"/>
              <w:ind w:firstLine="480"/>
              <w:rPr>
                <w:rFonts w:hint="eastAsia" w:eastAsia="宋体"/>
                <w:color w:val="auto"/>
                <w:highlight w:val="none"/>
                <w:lang w:eastAsia="zh-CN"/>
              </w:rPr>
            </w:pPr>
            <w:r>
              <w:rPr>
                <w:rFonts w:hint="eastAsia"/>
                <w:color w:val="auto"/>
                <w:highlight w:val="none"/>
                <w:lang w:eastAsia="zh-CN"/>
              </w:rPr>
              <w:t>根据《固体废物鉴别标准通则》（GB34330-2025）“6不作为固体废物管理的物质6.1 b)不经过贮存或堆积过程，而在现场直接返回原生产过程或返回其生产过程的物质”，因此本项目初期雨水池、沉淀池沉渣与除尘器收集的粉尘不作为固体废物管理。根据《危险废物鉴别标准通则》（GB5085.7-2019）“4.1 依据法律规定和GB34330，判断待鉴别的物品、物质是否属于固体废物，不属于固体废物的，则不属于危险废物”，因此项目初期雨水池、沉淀池沉渣及除尘器收集粉尘不属于危险废物，不需按照危险废物进行管理，收集后直接回用于生产</w:t>
            </w:r>
            <w:r>
              <w:rPr>
                <w:rFonts w:hint="eastAsia"/>
                <w:color w:val="auto"/>
                <w:highlight w:val="none"/>
              </w:rPr>
              <w:t>，不设置单独的一般固废贮存场所</w:t>
            </w:r>
            <w:r>
              <w:rPr>
                <w:rFonts w:hint="eastAsia"/>
                <w:color w:val="auto"/>
                <w:highlight w:val="none"/>
                <w:lang w:eastAsia="zh-CN"/>
              </w:rPr>
              <w:t>。</w:t>
            </w:r>
          </w:p>
          <w:p>
            <w:pPr>
              <w:pStyle w:val="32"/>
              <w:ind w:firstLine="480"/>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一般固体废物</w:t>
            </w:r>
          </w:p>
          <w:p>
            <w:pPr>
              <w:pStyle w:val="32"/>
              <w:ind w:firstLine="480"/>
              <w:rPr>
                <w:color w:val="auto"/>
                <w:highlight w:val="none"/>
              </w:rPr>
            </w:pPr>
            <w:r>
              <w:rPr>
                <w:rFonts w:hint="eastAsia"/>
                <w:color w:val="auto"/>
                <w:highlight w:val="none"/>
                <w:lang w:eastAsia="zh-CN"/>
              </w:rPr>
              <w:t>废滤芯</w:t>
            </w:r>
            <w:r>
              <w:rPr>
                <w:rFonts w:hint="eastAsia"/>
                <w:color w:val="auto"/>
                <w:highlight w:val="none"/>
              </w:rPr>
              <w:t>收集后暂存在一般固废暂存间，由厂家回收处置。</w:t>
            </w:r>
            <w:r>
              <w:rPr>
                <w:rFonts w:hint="eastAsia"/>
                <w:color w:val="auto"/>
                <w:highlight w:val="none"/>
                <w:lang w:eastAsia="zh-CN"/>
              </w:rPr>
              <w:t>卸矿站东侧</w:t>
            </w:r>
            <w:r>
              <w:rPr>
                <w:rFonts w:hint="eastAsia"/>
                <w:color w:val="auto"/>
                <w:highlight w:val="none"/>
              </w:rPr>
              <w:t>建设1座一般固废暂存间（20.25m</w:t>
            </w:r>
            <w:r>
              <w:rPr>
                <w:rFonts w:hint="eastAsia"/>
                <w:color w:val="auto"/>
                <w:highlight w:val="none"/>
                <w:vertAlign w:val="superscript"/>
              </w:rPr>
              <w:t>2</w:t>
            </w:r>
            <w:r>
              <w:rPr>
                <w:rFonts w:hint="eastAsia"/>
                <w:color w:val="auto"/>
                <w:highlight w:val="none"/>
              </w:rPr>
              <w:t>），贮存能力为5t。</w:t>
            </w:r>
            <w:r>
              <w:rPr>
                <w:rFonts w:hint="eastAsia"/>
                <w:color w:val="auto"/>
                <w:highlight w:val="none"/>
                <w:lang w:eastAsia="zh-CN"/>
              </w:rPr>
              <w:t>废滤芯</w:t>
            </w:r>
            <w:r>
              <w:rPr>
                <w:rFonts w:hint="eastAsia"/>
                <w:color w:val="auto"/>
                <w:highlight w:val="none"/>
              </w:rPr>
              <w:t>产生量约为0.005t/a，厂区内产生的</w:t>
            </w:r>
            <w:r>
              <w:rPr>
                <w:rFonts w:hint="eastAsia"/>
                <w:color w:val="auto"/>
                <w:highlight w:val="none"/>
                <w:lang w:eastAsia="zh-CN"/>
              </w:rPr>
              <w:t>废滤芯</w:t>
            </w:r>
            <w:r>
              <w:rPr>
                <w:rFonts w:hint="eastAsia"/>
                <w:color w:val="auto"/>
                <w:highlight w:val="none"/>
              </w:rPr>
              <w:t>每年转运一次，一般固废暂存间的贮存能力能够满足项目的一般固废暂存需求。</w:t>
            </w:r>
          </w:p>
          <w:p>
            <w:pPr>
              <w:pStyle w:val="32"/>
              <w:ind w:firstLine="480"/>
              <w:rPr>
                <w:color w:val="auto"/>
                <w:highlight w:val="none"/>
              </w:rPr>
            </w:pPr>
            <w:r>
              <w:rPr>
                <w:rFonts w:hint="eastAsia"/>
                <w:color w:val="auto"/>
                <w:highlight w:val="none"/>
              </w:rPr>
              <w:t>一般固废处置需满足以下要求：</w:t>
            </w:r>
          </w:p>
          <w:p>
            <w:pPr>
              <w:pStyle w:val="32"/>
              <w:ind w:firstLine="480"/>
              <w:rPr>
                <w:color w:val="auto"/>
                <w:highlight w:val="none"/>
              </w:rPr>
            </w:pPr>
            <w:r>
              <w:rPr>
                <w:rFonts w:hint="eastAsia"/>
                <w:color w:val="auto"/>
                <w:highlight w:val="none"/>
              </w:rPr>
              <w:t>①建设单位按照《中华人民共和国固体废物污染环境防治法》等相关法律法规要求，对一般工业固体废物采用防扬散、防流失、防渗漏或者其他防止污染环境的措施，防止或减少一般工业固体废物对环境的污染，不得擅自倾倒、堆放、丢弃、遗撒一般工业固体废物。</w:t>
            </w:r>
          </w:p>
          <w:p>
            <w:pPr>
              <w:pStyle w:val="32"/>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②建设单位建立健全一般工业固体废物产生、收集、贮存、运输、利用、处置全过程的污染环境防治责任制度。</w:t>
            </w:r>
          </w:p>
          <w:p>
            <w:pPr>
              <w:pStyle w:val="32"/>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③建立环境管理台账制度，一般工业固体废物环境管理台账记录应符合生态环境部规定的一般工业固体废物环境管理台账相关标准及管理文件要求。</w:t>
            </w:r>
          </w:p>
          <w:p>
            <w:pPr>
              <w:pStyle w:val="32"/>
              <w:ind w:firstLine="480"/>
              <w:rPr>
                <w:color w:val="auto"/>
                <w:highlight w:val="none"/>
              </w:rPr>
            </w:pPr>
            <w:r>
              <w:rPr>
                <w:rFonts w:hint="eastAsia"/>
                <w:color w:val="auto"/>
                <w:highlight w:val="none"/>
                <w:lang w:val="en-US" w:eastAsia="zh-CN"/>
              </w:rPr>
              <w:t>2.</w:t>
            </w:r>
            <w:r>
              <w:rPr>
                <w:rFonts w:hint="eastAsia"/>
                <w:color w:val="auto"/>
                <w:highlight w:val="none"/>
              </w:rPr>
              <w:t>危险废物</w:t>
            </w:r>
          </w:p>
          <w:p>
            <w:pPr>
              <w:pStyle w:val="32"/>
              <w:ind w:firstLine="480"/>
              <w:rPr>
                <w:color w:val="auto"/>
                <w:highlight w:val="none"/>
              </w:rPr>
            </w:pPr>
            <w:r>
              <w:rPr>
                <w:rFonts w:hint="eastAsia"/>
                <w:color w:val="auto"/>
                <w:highlight w:val="none"/>
              </w:rPr>
              <w:t>拟建项目产生的危险废物委托有资质的单位处理处置。</w:t>
            </w:r>
            <w:r>
              <w:rPr>
                <w:rFonts w:hint="eastAsia"/>
                <w:color w:val="auto"/>
                <w:highlight w:val="none"/>
                <w:lang w:eastAsia="zh-CN"/>
              </w:rPr>
              <w:t>卸矿站东侧</w:t>
            </w:r>
            <w:r>
              <w:rPr>
                <w:rFonts w:hint="eastAsia"/>
                <w:color w:val="auto"/>
                <w:highlight w:val="none"/>
              </w:rPr>
              <w:t>建设1座危废暂存间（20.25m</w:t>
            </w:r>
            <w:r>
              <w:rPr>
                <w:rFonts w:hint="eastAsia"/>
                <w:color w:val="auto"/>
                <w:highlight w:val="none"/>
                <w:vertAlign w:val="superscript"/>
              </w:rPr>
              <w:t>2</w:t>
            </w:r>
            <w:r>
              <w:rPr>
                <w:rFonts w:hint="eastAsia"/>
                <w:color w:val="auto"/>
                <w:highlight w:val="none"/>
              </w:rPr>
              <w:t>），贮存能力为5t。拟建项目危险废物产生量约为0.29t/a，厂区内产生的危险废物每年转运一次，危废暂存间的贮存能力能够满足项目的危险废物暂存需求。</w:t>
            </w:r>
          </w:p>
          <w:p>
            <w:pPr>
              <w:pStyle w:val="32"/>
              <w:ind w:firstLine="48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rPr>
              <w:t>危险废物收集、暂存</w:t>
            </w:r>
          </w:p>
          <w:p>
            <w:pPr>
              <w:pStyle w:val="32"/>
              <w:ind w:firstLine="480"/>
              <w:rPr>
                <w:color w:val="auto"/>
                <w:highlight w:val="none"/>
              </w:rPr>
            </w:pPr>
            <w:r>
              <w:rPr>
                <w:rFonts w:hint="eastAsia"/>
                <w:color w:val="auto"/>
                <w:highlight w:val="none"/>
              </w:rPr>
              <w:t>厂区危险废物收集、暂存须满足《危险废物贮存污染控制标准》（GB18597-2023）中相关标准：</w:t>
            </w:r>
          </w:p>
          <w:p>
            <w:pPr>
              <w:pStyle w:val="32"/>
              <w:ind w:firstLine="480"/>
              <w:rPr>
                <w:color w:val="auto"/>
                <w:highlight w:val="none"/>
              </w:rPr>
            </w:pPr>
            <w:r>
              <w:rPr>
                <w:rFonts w:hint="eastAsia"/>
                <w:color w:val="auto"/>
                <w:highlight w:val="none"/>
              </w:rPr>
              <w:t>1）落实污染环境防治责任制度，建立健全工业危险废物产生、收集、贮存、运输、利用、处置全过程的污染环境防治责任制度。</w:t>
            </w:r>
          </w:p>
          <w:p>
            <w:pPr>
              <w:pStyle w:val="32"/>
              <w:ind w:left="0" w:leftChars="0" w:firstLine="0" w:firstLineChars="0"/>
              <w:rPr>
                <w:color w:val="auto"/>
                <w:highlight w:val="none"/>
              </w:rPr>
            </w:pPr>
            <w:r>
              <w:rPr>
                <w:rFonts w:hint="eastAsia"/>
                <w:color w:val="auto"/>
                <w:highlight w:val="none"/>
              </w:rPr>
              <w:t>2）落实危险废物识别标志制度，按照《环境保护图形标志固体废物贮存（处置）场》（GB15562.2）等有关规定，对危险废物的容器和包装物以及收集、贮存、运输、利用、处置危险废物的设施、场所设置危险废物识别标志。</w:t>
            </w:r>
          </w:p>
          <w:p>
            <w:pPr>
              <w:pStyle w:val="32"/>
              <w:ind w:firstLine="480"/>
              <w:rPr>
                <w:color w:val="auto"/>
                <w:highlight w:val="none"/>
              </w:rPr>
            </w:pPr>
            <w:r>
              <w:rPr>
                <w:rFonts w:hint="eastAsia"/>
                <w:color w:val="auto"/>
                <w:highlight w:val="none"/>
              </w:rPr>
              <w:t>3）落实危险废物管理计划制度，按照《危险废物产生单位管理计划制定指南》有关要求制定危险废物管理计划，并报所在地生态环境主管部门备案。</w:t>
            </w:r>
          </w:p>
          <w:p>
            <w:pPr>
              <w:pStyle w:val="32"/>
              <w:ind w:firstLine="480"/>
              <w:rPr>
                <w:color w:val="auto"/>
                <w:highlight w:val="none"/>
              </w:rPr>
            </w:pPr>
            <w:r>
              <w:rPr>
                <w:rFonts w:hint="eastAsia"/>
                <w:color w:val="auto"/>
                <w:highlight w:val="none"/>
              </w:rPr>
              <w:t>4）落实危险废物管理台账及申报制度，建立危险废物管理台账，如实记录有关信息，并通过国家危险废物信息管理系统向所在地生态环境主管部门申报危险废物的种类、产生量、流向、贮存、处置等有关资料。</w:t>
            </w:r>
          </w:p>
          <w:p>
            <w:pPr>
              <w:pStyle w:val="32"/>
              <w:ind w:firstLine="480"/>
              <w:rPr>
                <w:color w:val="auto"/>
                <w:highlight w:val="none"/>
              </w:rPr>
            </w:pPr>
            <w:r>
              <w:rPr>
                <w:rFonts w:hint="eastAsia"/>
                <w:color w:val="auto"/>
                <w:highlight w:val="none"/>
              </w:rPr>
              <w:t>5）落实危险废物经营许可证制度，禁止将危险废物提供或委托给无许可证的单位或者其他生产经营者从事收集、贮存、利用、处置活动。</w:t>
            </w:r>
          </w:p>
          <w:p>
            <w:pPr>
              <w:pStyle w:val="32"/>
              <w:ind w:firstLine="480"/>
              <w:rPr>
                <w:color w:val="auto"/>
                <w:highlight w:val="none"/>
              </w:rPr>
            </w:pPr>
            <w:r>
              <w:rPr>
                <w:rFonts w:hint="eastAsia"/>
                <w:color w:val="auto"/>
                <w:highlight w:val="none"/>
              </w:rPr>
              <w:t>6）落实危险废物转移制度，转移危险废物的，应当按照《危险废物转移管理办法》的有关规定填写电子或者纸质转移联单。运输危险废物，应当采取防止污染环境的措施，并遵守国家有关危险货物运输管理的规定。</w:t>
            </w:r>
          </w:p>
          <w:p>
            <w:pPr>
              <w:pStyle w:val="32"/>
              <w:ind w:firstLine="480"/>
              <w:rPr>
                <w:color w:val="auto"/>
                <w:highlight w:val="none"/>
              </w:rPr>
            </w:pPr>
            <w:r>
              <w:rPr>
                <w:rFonts w:hint="eastAsia"/>
                <w:color w:val="auto"/>
                <w:highlight w:val="none"/>
              </w:rPr>
              <w:t>7）落实排污许可制度，执行排污许可管理制度的规定。</w:t>
            </w:r>
          </w:p>
          <w:p>
            <w:pPr>
              <w:pStyle w:val="32"/>
              <w:ind w:firstLine="480"/>
              <w:rPr>
                <w:color w:val="auto"/>
                <w:highlight w:val="none"/>
              </w:rPr>
            </w:pPr>
            <w:r>
              <w:rPr>
                <w:rFonts w:hint="eastAsia"/>
                <w:color w:val="auto"/>
                <w:highlight w:val="none"/>
              </w:rPr>
              <w:t>8）执行环境保护标准要求，按照国家有关规定和环境保护标准要求贮存、利用、处置危险废物，不得将其擅自倾倒、处置；禁止混合收集、贮存、运输、处置性质不相容而未经安全性处置的危险废物。危险废物暂存间采取技术和管理措施防止无关人员进入。</w:t>
            </w:r>
          </w:p>
          <w:p>
            <w:pPr>
              <w:pStyle w:val="32"/>
              <w:ind w:firstLine="480"/>
              <w:rPr>
                <w:rFonts w:hint="eastAsia"/>
                <w:color w:val="auto"/>
                <w:highlight w:val="none"/>
              </w:rPr>
            </w:pPr>
            <w:r>
              <w:rPr>
                <w:rFonts w:hint="eastAsia"/>
                <w:color w:val="auto"/>
                <w:highlight w:val="none"/>
              </w:rPr>
              <w:t>危险废物收集、贮存应当按照其特性分类进行；禁止将危险废物混入非危险废物中贮存。危险废物收集、贮存和运输过程的污染控制执行《危险废物贮存污染控制标准》（GB18597）和《危险废物收集贮存运输技术规范》（HJ2025）有关规定。</w:t>
            </w:r>
          </w:p>
          <w:p>
            <w:pPr>
              <w:pStyle w:val="32"/>
              <w:ind w:firstLine="480"/>
              <w:rPr>
                <w:color w:val="auto"/>
                <w:highlight w:val="none"/>
              </w:rPr>
            </w:pPr>
            <w:r>
              <w:rPr>
                <w:rFonts w:hint="eastAsia"/>
                <w:color w:val="auto"/>
                <w:highlight w:val="none"/>
              </w:rPr>
              <w:t>9）落实环境影响评价制度及环境保护“三同时”制度，危险废物暂存间等危险废物相关设施应当与主体工程同时设计、同时施工、同时投入使用。</w:t>
            </w:r>
          </w:p>
          <w:p>
            <w:pPr>
              <w:pStyle w:val="32"/>
              <w:ind w:firstLine="480"/>
              <w:rPr>
                <w:color w:val="auto"/>
                <w:highlight w:val="none"/>
              </w:rPr>
            </w:pPr>
            <w:r>
              <w:rPr>
                <w:rFonts w:hint="eastAsia"/>
                <w:color w:val="auto"/>
                <w:highlight w:val="none"/>
              </w:rPr>
              <w:t>10）落实环境应急预案，参考《危险废物经营单位编制应急预案指南》有关规定制定意外事故的防范措施和环境应急预案，并向所在地生态环境主管部门和其他负有固体废物污染环境防治监督管理职责的部门备案。</w:t>
            </w:r>
          </w:p>
          <w:p>
            <w:pPr>
              <w:pStyle w:val="32"/>
              <w:ind w:firstLine="480"/>
              <w:rPr>
                <w:color w:val="auto"/>
                <w:highlight w:val="none"/>
              </w:rPr>
            </w:pPr>
            <w:r>
              <w:rPr>
                <w:rFonts w:hint="eastAsia"/>
                <w:color w:val="auto"/>
                <w:highlight w:val="none"/>
              </w:rPr>
              <w:t>11）加强危险废物规范化环境管理，按照《危险废物规范化环境管理评估指标》有关要求，提升危险废物规范化环境管理水平。</w:t>
            </w:r>
          </w:p>
          <w:p>
            <w:pPr>
              <w:pStyle w:val="32"/>
              <w:ind w:firstLine="480"/>
              <w:rPr>
                <w:color w:val="auto"/>
                <w:highlight w:val="none"/>
                <w:lang w:bidi="ar"/>
              </w:rPr>
            </w:pPr>
            <w:r>
              <w:rPr>
                <w:rFonts w:hint="eastAsia"/>
                <w:color w:val="auto"/>
                <w:highlight w:val="none"/>
              </w:rPr>
              <w:t>在落实以上危险废物防治措施后，项目产生的危险废物得到无害化处置，对环境影响较小</w:t>
            </w:r>
            <w:r>
              <w:rPr>
                <w:rFonts w:hint="eastAsia"/>
                <w:color w:val="auto"/>
                <w:highlight w:val="none"/>
                <w:lang w:bidi="ar"/>
              </w:rPr>
              <w:t>。</w:t>
            </w:r>
          </w:p>
          <w:p>
            <w:pPr>
              <w:pStyle w:val="32"/>
              <w:ind w:firstLine="480"/>
              <w:rPr>
                <w:rFonts w:hint="eastAsia"/>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rPr>
              <w:t>危险废物</w:t>
            </w:r>
            <w:r>
              <w:rPr>
                <w:rFonts w:hint="eastAsia"/>
                <w:color w:val="auto"/>
                <w:highlight w:val="none"/>
                <w:lang w:val="en-US" w:eastAsia="zh-CN"/>
              </w:rPr>
              <w:t>转移</w:t>
            </w:r>
          </w:p>
          <w:p>
            <w:pPr>
              <w:pStyle w:val="32"/>
              <w:ind w:firstLine="480"/>
              <w:rPr>
                <w:rFonts w:hint="eastAsia"/>
                <w:color w:val="auto"/>
                <w:highlight w:val="none"/>
                <w:lang w:val="en-US" w:eastAsia="zh-CN"/>
              </w:rPr>
            </w:pPr>
            <w:r>
              <w:rPr>
                <w:rFonts w:hint="eastAsia"/>
                <w:color w:val="auto"/>
                <w:highlight w:val="none"/>
                <w:lang w:val="en-US" w:eastAsia="zh-CN"/>
              </w:rPr>
              <w:t>在危险废物的转移运输中，按《危险废物转移管理办法》（部令第23号）的规定，执行危险废物联单制度，转移危险废物的，应通过国家危险废物信息管理系统填写、运行危险废物电子转移联单，并依照国家有关规定公开危险废物转移相关污染环境防治信息。危险废物移出人、危险废物承运人、危险废物接收人在危险废物转移过程中应当采取防扬散、防流失、防渗漏或者其他防止污染环境的措施，不得擅自倾倒、堆放、丢弃、遗撒危险废物，并对所造成的环境污染及生态破坏依法承担责任。环境管理台账记录保存期限不得少于5年。</w:t>
            </w:r>
          </w:p>
          <w:p>
            <w:pPr>
              <w:pStyle w:val="32"/>
              <w:ind w:firstLine="480"/>
              <w:rPr>
                <w:rFonts w:hint="eastAsia"/>
                <w:color w:val="auto"/>
                <w:highlight w:val="none"/>
                <w:lang w:val="en-US" w:eastAsia="zh-CN"/>
              </w:rPr>
            </w:pPr>
            <w:r>
              <w:rPr>
                <w:rFonts w:hint="eastAsia"/>
                <w:color w:val="auto"/>
                <w:highlight w:val="none"/>
                <w:lang w:val="en-US" w:eastAsia="zh-CN"/>
              </w:rPr>
              <w:t>综上所述，在加强管理，并在落实好各项污染防治措施和固体废物安全处置措施的前提下，本项目产生的固体废物对周围环境的影响较小。</w:t>
            </w:r>
          </w:p>
          <w:p>
            <w:pPr>
              <w:pStyle w:val="32"/>
              <w:ind w:firstLine="480"/>
              <w:rPr>
                <w:color w:val="auto"/>
                <w:highlight w:val="none"/>
              </w:rPr>
            </w:pPr>
            <w:r>
              <w:rPr>
                <w:rFonts w:hint="eastAsia"/>
                <w:color w:val="auto"/>
                <w:highlight w:val="none"/>
              </w:rPr>
              <w:t>（3）生活垃圾</w:t>
            </w:r>
          </w:p>
          <w:p>
            <w:pPr>
              <w:pStyle w:val="32"/>
              <w:ind w:firstLine="480"/>
              <w:rPr>
                <w:rFonts w:hint="eastAsia"/>
                <w:color w:val="auto"/>
                <w:highlight w:val="none"/>
                <w:lang w:val="en-US" w:eastAsia="zh-CN"/>
              </w:rPr>
            </w:pPr>
            <w:r>
              <w:rPr>
                <w:color w:val="auto"/>
                <w:highlight w:val="none"/>
              </w:rPr>
              <w:t>职工产生的生活垃圾经分类收集，委托环卫部门统一外运处置</w:t>
            </w:r>
            <w:r>
              <w:rPr>
                <w:rFonts w:hint="eastAsia"/>
                <w:color w:val="auto"/>
                <w:highlight w:val="none"/>
              </w:rPr>
              <w:t>，</w:t>
            </w:r>
            <w:r>
              <w:rPr>
                <w:color w:val="auto"/>
                <w:highlight w:val="none"/>
              </w:rPr>
              <w:t>不会对环境造成不良影响。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12490" w:hRule="atLeast"/>
          <w:jc w:val="center"/>
        </w:trPr>
        <w:tc>
          <w:tcPr>
            <w:tcW w:w="218" w:type="pct"/>
            <w:vAlign w:val="center"/>
          </w:tcPr>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运营</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期环</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境影</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响和</w:t>
            </w:r>
          </w:p>
          <w:p>
            <w:pPr>
              <w:adjustRightInd w:val="0"/>
              <w:snapToGrid w:val="0"/>
              <w:jc w:val="center"/>
              <w:rPr>
                <w:rFonts w:hint="eastAsia" w:ascii="宋体" w:hAnsi="宋体" w:cs="宋体"/>
                <w:bCs/>
                <w:color w:val="auto"/>
                <w:szCs w:val="21"/>
                <w:highlight w:val="none"/>
              </w:rPr>
            </w:pPr>
            <w:r>
              <w:rPr>
                <w:rFonts w:hint="eastAsia" w:ascii="宋体" w:hAnsi="宋体" w:cs="宋体"/>
                <w:bCs/>
                <w:color w:val="auto"/>
                <w:szCs w:val="21"/>
                <w:highlight w:val="none"/>
              </w:rPr>
              <w:t>保护</w:t>
            </w:r>
          </w:p>
          <w:p>
            <w:pPr>
              <w:pStyle w:val="19"/>
              <w:adjustRightInd w:val="0"/>
              <w:snapToGrid w:val="0"/>
              <w:ind w:firstLine="0"/>
              <w:jc w:val="center"/>
              <w:rPr>
                <w:color w:val="auto"/>
                <w:highlight w:val="none"/>
              </w:rPr>
            </w:pPr>
            <w:r>
              <w:rPr>
                <w:rFonts w:hint="eastAsia" w:ascii="宋体" w:hAnsi="宋体" w:cs="宋体"/>
                <w:bCs/>
                <w:color w:val="auto"/>
                <w:szCs w:val="21"/>
                <w:highlight w:val="none"/>
              </w:rPr>
              <w:t>措施</w:t>
            </w:r>
          </w:p>
        </w:tc>
        <w:tc>
          <w:tcPr>
            <w:tcW w:w="4777" w:type="pct"/>
          </w:tcPr>
          <w:p>
            <w:pPr>
              <w:pStyle w:val="32"/>
              <w:ind w:firstLine="480"/>
              <w:rPr>
                <w:color w:val="auto"/>
                <w:highlight w:val="none"/>
              </w:rPr>
            </w:pPr>
            <w:r>
              <w:rPr>
                <w:rFonts w:hint="eastAsia"/>
                <w:color w:val="auto"/>
                <w:highlight w:val="none"/>
              </w:rPr>
              <w:t>综上所述，</w:t>
            </w:r>
            <w:r>
              <w:rPr>
                <w:color w:val="auto"/>
                <w:highlight w:val="none"/>
                <w:shd w:val="clear" w:color="auto" w:fill="FFFFFF" w:themeFill="background1"/>
              </w:rPr>
              <w:t>本项目的固体废物处置遵循减量化、资源化和无害化的原则，采取了分类收集、分类临时储存和分类处置措施，同时处置过程中的二次污染能够满足相关标准。项目采取的固体废物处理环保措施可行</w:t>
            </w:r>
            <w:r>
              <w:rPr>
                <w:rFonts w:hint="eastAsia"/>
                <w:color w:val="auto"/>
                <w:highlight w:val="none"/>
                <w:shd w:val="clear" w:color="auto" w:fill="FFFFFF" w:themeFill="background1"/>
              </w:rPr>
              <w:t>，</w:t>
            </w:r>
            <w:r>
              <w:rPr>
                <w:color w:val="auto"/>
                <w:highlight w:val="none"/>
              </w:rPr>
              <w:t>对周边环境影响</w:t>
            </w:r>
            <w:r>
              <w:rPr>
                <w:rFonts w:hint="eastAsia"/>
                <w:color w:val="auto"/>
                <w:highlight w:val="none"/>
              </w:rPr>
              <w:t>较小。</w:t>
            </w:r>
          </w:p>
          <w:p>
            <w:pPr>
              <w:pStyle w:val="29"/>
              <w:tabs>
                <w:tab w:val="left" w:pos="644"/>
              </w:tabs>
              <w:rPr>
                <w:color w:val="auto"/>
                <w:highlight w:val="none"/>
              </w:rPr>
            </w:pPr>
            <w:r>
              <w:rPr>
                <w:rFonts w:hint="eastAsia"/>
                <w:color w:val="auto"/>
                <w:highlight w:val="none"/>
              </w:rPr>
              <w:t xml:space="preserve">4.2.5 </w:t>
            </w:r>
            <w:r>
              <w:rPr>
                <w:color w:val="auto"/>
                <w:highlight w:val="none"/>
              </w:rPr>
              <w:t>地下水</w:t>
            </w:r>
            <w:r>
              <w:rPr>
                <w:rFonts w:hint="eastAsia"/>
                <w:color w:val="auto"/>
                <w:highlight w:val="none"/>
              </w:rPr>
              <w:t>环境影响及防控措施</w:t>
            </w:r>
          </w:p>
          <w:p>
            <w:pPr>
              <w:pStyle w:val="32"/>
              <w:ind w:firstLine="480"/>
              <w:rPr>
                <w:color w:val="auto"/>
                <w:highlight w:val="none"/>
              </w:rPr>
            </w:pPr>
            <w:r>
              <w:rPr>
                <w:rFonts w:hint="eastAsia"/>
                <w:color w:val="auto"/>
                <w:highlight w:val="none"/>
              </w:rPr>
              <w:t>根据《环境影响评价技术导则 地下水环境》（</w:t>
            </w:r>
            <w:r>
              <w:rPr>
                <w:color w:val="auto"/>
                <w:highlight w:val="none"/>
              </w:rPr>
              <w:t>HJ610-2016</w:t>
            </w:r>
            <w:r>
              <w:rPr>
                <w:rFonts w:hint="eastAsia"/>
                <w:color w:val="auto"/>
                <w:highlight w:val="none"/>
              </w:rPr>
              <w:t>）附录</w:t>
            </w:r>
            <w:r>
              <w:rPr>
                <w:color w:val="auto"/>
                <w:highlight w:val="none"/>
              </w:rPr>
              <w:t>A</w:t>
            </w:r>
            <w:r>
              <w:rPr>
                <w:rFonts w:hint="eastAsia"/>
                <w:color w:val="auto"/>
                <w:highlight w:val="none"/>
              </w:rPr>
              <w:t>地下水环境影响评价行业分类表，本次项目属于“H有色金属中47、采选（含单独尾矿库）”中“/”，参照类似的石材加工，为</w:t>
            </w:r>
            <w:r>
              <w:rPr>
                <w:color w:val="auto"/>
                <w:highlight w:val="none"/>
              </w:rPr>
              <w:t>Ⅳ</w:t>
            </w:r>
            <w:r>
              <w:rPr>
                <w:rFonts w:hint="eastAsia"/>
                <w:color w:val="auto"/>
                <w:highlight w:val="none"/>
              </w:rPr>
              <w:t>类，本次评价仅对项目地下水环境影响进行简单分析。</w:t>
            </w:r>
          </w:p>
          <w:p>
            <w:pPr>
              <w:pStyle w:val="32"/>
              <w:ind w:firstLine="480"/>
              <w:rPr>
                <w:color w:val="auto"/>
                <w:highlight w:val="none"/>
              </w:rPr>
            </w:pPr>
            <w:r>
              <w:rPr>
                <w:rFonts w:hint="eastAsia"/>
                <w:color w:val="auto"/>
                <w:highlight w:val="none"/>
              </w:rPr>
              <w:t>1.地下水污染途径分析</w:t>
            </w:r>
          </w:p>
          <w:p>
            <w:pPr>
              <w:pStyle w:val="32"/>
              <w:ind w:firstLine="480"/>
              <w:rPr>
                <w:color w:val="auto"/>
                <w:highlight w:val="none"/>
              </w:rPr>
            </w:pPr>
            <w:r>
              <w:rPr>
                <w:rFonts w:hint="eastAsia"/>
                <w:color w:val="auto"/>
                <w:highlight w:val="none"/>
              </w:rPr>
              <w:t>根据拟建项目实际情况，项目主要污染途径包括：</w:t>
            </w:r>
          </w:p>
          <w:p>
            <w:pPr>
              <w:pStyle w:val="32"/>
              <w:ind w:firstLine="480"/>
              <w:rPr>
                <w:color w:val="auto"/>
                <w:highlight w:val="none"/>
              </w:rPr>
            </w:pPr>
            <w:r>
              <w:rPr>
                <w:rFonts w:hint="eastAsia"/>
                <w:color w:val="auto"/>
                <w:highlight w:val="none"/>
              </w:rPr>
              <w:t>①污水输送管道、沉淀池、初期雨水池各单体防渗层破裂、粘接缝不够密封或污水管道破裂等原因造成污染物质的渗透，从而污染地下水。</w:t>
            </w:r>
          </w:p>
          <w:p>
            <w:pPr>
              <w:pStyle w:val="32"/>
              <w:ind w:firstLine="480"/>
              <w:rPr>
                <w:color w:val="auto"/>
                <w:highlight w:val="none"/>
              </w:rPr>
            </w:pPr>
            <w:r>
              <w:rPr>
                <w:rFonts w:hint="eastAsia"/>
                <w:color w:val="auto"/>
                <w:highlight w:val="none"/>
              </w:rPr>
              <w:t>②固体废物储存场所地面防渗不当，造成固体废物渗滤液下渗污染地下水。</w:t>
            </w:r>
          </w:p>
          <w:p>
            <w:pPr>
              <w:pStyle w:val="32"/>
              <w:ind w:firstLine="480"/>
              <w:rPr>
                <w:color w:val="auto"/>
                <w:highlight w:val="none"/>
              </w:rPr>
            </w:pPr>
            <w:r>
              <w:rPr>
                <w:rFonts w:hint="eastAsia"/>
                <w:color w:val="auto"/>
                <w:highlight w:val="none"/>
              </w:rPr>
              <w:t>③地表初期雨水，通过地表径流的下渗，污染地下水。</w:t>
            </w:r>
          </w:p>
          <w:p>
            <w:pPr>
              <w:pStyle w:val="32"/>
              <w:ind w:firstLine="480"/>
              <w:rPr>
                <w:color w:val="auto"/>
                <w:highlight w:val="none"/>
              </w:rPr>
            </w:pPr>
            <w:r>
              <w:rPr>
                <w:rFonts w:hint="eastAsia"/>
                <w:color w:val="auto"/>
                <w:highlight w:val="none"/>
              </w:rPr>
              <w:t>2.地下水污染影响分析</w:t>
            </w:r>
          </w:p>
          <w:p>
            <w:pPr>
              <w:pStyle w:val="32"/>
              <w:ind w:firstLine="480"/>
              <w:rPr>
                <w:color w:val="auto"/>
                <w:highlight w:val="none"/>
              </w:rPr>
            </w:pPr>
            <w:r>
              <w:rPr>
                <w:rFonts w:hint="eastAsia"/>
                <w:color w:val="auto"/>
                <w:highlight w:val="none"/>
              </w:rPr>
              <w:t>项目生产车间的地面水泥硬化，原料为固体，均储存在规范设置的仓库内，正常状况下不会出现降水入渗或原料泄漏，一般不会出现地下水环境污染。</w:t>
            </w:r>
          </w:p>
          <w:p>
            <w:pPr>
              <w:pStyle w:val="32"/>
              <w:ind w:firstLine="480"/>
              <w:rPr>
                <w:color w:val="auto"/>
                <w:highlight w:val="none"/>
              </w:rPr>
            </w:pPr>
            <w:r>
              <w:rPr>
                <w:rFonts w:hint="eastAsia"/>
                <w:color w:val="auto"/>
                <w:highlight w:val="none"/>
              </w:rPr>
              <w:t>根据项目废水污染源影响分析，生产废水处理后回用不外排，仅排放生活污水，正常工况下生产废水处理设施各构筑物采取严格的防渗、防溢流等措施，废水不易渗漏和进入地下水。</w:t>
            </w:r>
          </w:p>
          <w:p>
            <w:pPr>
              <w:pStyle w:val="32"/>
              <w:ind w:firstLine="480"/>
              <w:rPr>
                <w:color w:val="auto"/>
                <w:highlight w:val="none"/>
              </w:rPr>
            </w:pPr>
            <w:r>
              <w:rPr>
                <w:rFonts w:hint="eastAsia"/>
                <w:color w:val="auto"/>
                <w:highlight w:val="none"/>
              </w:rPr>
              <w:t>根据现场调查，项目评价区域无饮用水水源地，用水采用自来水。一般工业固废暂存场所严格按照《一般工业固体废物贮存和填埋污染控制标准》（GB18599-2020）的要求进行建设，具备防风、防雨、防晒、防渗漏等要求。危险废物暂存间严格按照《危险废物贮存污染控制标准》（GB18597-2023）的要求进行建设，具备防风、防雨、防晒、防渗漏等要求。在正常工况，不会对评价区地下水产生明显影响，其影响程度是可以接受的。</w:t>
            </w:r>
          </w:p>
          <w:p>
            <w:pPr>
              <w:pStyle w:val="32"/>
              <w:ind w:firstLine="480"/>
              <w:rPr>
                <w:color w:val="auto"/>
                <w:highlight w:val="none"/>
              </w:rPr>
            </w:pPr>
            <w:r>
              <w:rPr>
                <w:rFonts w:hint="eastAsia"/>
                <w:color w:val="auto"/>
                <w:highlight w:val="none"/>
              </w:rPr>
              <w:t>综上所述，项目在正常运行工况下，对地下水影响不大。</w:t>
            </w:r>
          </w:p>
          <w:p>
            <w:pPr>
              <w:pStyle w:val="32"/>
              <w:ind w:firstLine="472"/>
              <w:rPr>
                <w:color w:val="auto"/>
                <w:spacing w:val="-2"/>
                <w:highlight w:val="none"/>
              </w:rPr>
            </w:pPr>
            <w:r>
              <w:rPr>
                <w:rFonts w:hint="eastAsia"/>
                <w:color w:val="auto"/>
                <w:spacing w:val="-2"/>
                <w:highlight w:val="none"/>
              </w:rPr>
              <w:t>3.地下水污染防治措施</w:t>
            </w:r>
          </w:p>
          <w:p>
            <w:pPr>
              <w:pStyle w:val="32"/>
              <w:ind w:firstLine="472"/>
              <w:rPr>
                <w:color w:val="auto"/>
                <w:spacing w:val="-2"/>
                <w:highlight w:val="none"/>
              </w:rPr>
            </w:pPr>
            <w:r>
              <w:rPr>
                <w:rFonts w:hint="eastAsia"/>
                <w:color w:val="auto"/>
                <w:spacing w:val="-2"/>
                <w:highlight w:val="none"/>
              </w:rPr>
              <w:t>（1）源头控制措施</w:t>
            </w:r>
          </w:p>
          <w:p>
            <w:pPr>
              <w:pStyle w:val="32"/>
              <w:ind w:firstLine="472"/>
              <w:rPr>
                <w:color w:val="auto"/>
                <w:spacing w:val="-2"/>
                <w:highlight w:val="none"/>
              </w:rPr>
            </w:pPr>
            <w:r>
              <w:rPr>
                <w:rFonts w:hint="eastAsia"/>
                <w:color w:val="auto"/>
                <w:spacing w:val="-2"/>
                <w:highlight w:val="none"/>
              </w:rPr>
              <w:t>拟建项目要选择先进、成熟、可靠的工艺技术，以尽可能从源头上减少污染物排放；严格按照国家相关规范要求，对工艺、管道、设备采取相应的措施，以防止和降低污染物的跑、冒、滴、漏，将污染物泄漏的环境风险事故降低到最低程度；管线敷设尽量采用“可视化”原则，即管道尽可能在地上敷设，做到污染物“早发现、早处理”，以减少由于埋地管道泄漏而可能造成的地下水污染。</w:t>
            </w:r>
          </w:p>
          <w:p>
            <w:pPr>
              <w:pStyle w:val="32"/>
              <w:ind w:firstLine="472"/>
              <w:rPr>
                <w:color w:val="auto"/>
                <w:spacing w:val="-2"/>
                <w:highlight w:val="none"/>
              </w:rPr>
            </w:pPr>
            <w:r>
              <w:rPr>
                <w:rFonts w:hint="eastAsia"/>
                <w:color w:val="auto"/>
                <w:spacing w:val="-2"/>
                <w:highlight w:val="none"/>
              </w:rPr>
              <w:t>（2）过程防控措施</w:t>
            </w:r>
          </w:p>
          <w:p>
            <w:pPr>
              <w:pStyle w:val="32"/>
              <w:ind w:firstLine="472"/>
              <w:rPr>
                <w:color w:val="auto"/>
                <w:spacing w:val="-6"/>
                <w:highlight w:val="none"/>
              </w:rPr>
            </w:pPr>
            <w:r>
              <w:rPr>
                <w:color w:val="auto"/>
                <w:spacing w:val="-2"/>
                <w:highlight w:val="none"/>
              </w:rPr>
              <w:t>根据本项目厂区可能泄漏至地面区域污染物的性质和生产单元的构筑方式，</w:t>
            </w:r>
            <w:r>
              <w:rPr>
                <w:color w:val="auto"/>
                <w:spacing w:val="-3"/>
                <w:highlight w:val="none"/>
              </w:rPr>
              <w:t>将厂区划分为重点防渗区、一般防渗区、简单防渗区，针对不同的区域提出相应</w:t>
            </w:r>
            <w:r>
              <w:rPr>
                <w:color w:val="auto"/>
                <w:spacing w:val="-6"/>
                <w:highlight w:val="none"/>
              </w:rPr>
              <w:t>的防渗要求。</w:t>
            </w:r>
          </w:p>
          <w:p>
            <w:pPr>
              <w:pStyle w:val="32"/>
              <w:ind w:firstLine="480"/>
              <w:rPr>
                <w:color w:val="auto"/>
                <w:highlight w:val="none"/>
              </w:rPr>
            </w:pPr>
            <w:r>
              <w:rPr>
                <w:color w:val="auto"/>
                <w:highlight w:val="none"/>
              </w:rPr>
              <w:t>根据《环境影响评价技术导则 地下水环境》（HJ610-2016）</w:t>
            </w:r>
            <w:r>
              <w:rPr>
                <w:rFonts w:hint="eastAsia"/>
                <w:color w:val="auto"/>
                <w:highlight w:val="none"/>
              </w:rPr>
              <w:t>，地下水污染防渗分区参照表如下：</w:t>
            </w:r>
          </w:p>
          <w:p>
            <w:pPr>
              <w:pStyle w:val="36"/>
              <w:rPr>
                <w:b/>
                <w:bCs/>
                <w:color w:val="auto"/>
                <w:highlight w:val="none"/>
              </w:rPr>
            </w:pPr>
            <w:r>
              <w:rPr>
                <w:rFonts w:hint="eastAsia"/>
                <w:b/>
                <w:bCs/>
                <w:color w:val="auto"/>
                <w:highlight w:val="none"/>
              </w:rPr>
              <w:t>表4.2.2</w:t>
            </w:r>
            <w:r>
              <w:rPr>
                <w:rFonts w:hint="eastAsia"/>
                <w:b/>
                <w:bCs/>
                <w:color w:val="auto"/>
                <w:highlight w:val="none"/>
                <w:lang w:val="en-US" w:eastAsia="zh-CN"/>
              </w:rPr>
              <w:t>7</w:t>
            </w:r>
            <w:r>
              <w:rPr>
                <w:rFonts w:hint="eastAsia"/>
                <w:b/>
                <w:bCs/>
                <w:color w:val="auto"/>
                <w:highlight w:val="none"/>
              </w:rPr>
              <w:t xml:space="preserve">  地下水污染防渗分区参照表</w:t>
            </w:r>
          </w:p>
          <w:tbl>
            <w:tblPr>
              <w:tblStyle w:val="2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532"/>
              <w:gridCol w:w="1324"/>
              <w:gridCol w:w="1832"/>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Align w:val="center"/>
                </w:tcPr>
                <w:p>
                  <w:pPr>
                    <w:pStyle w:val="35"/>
                    <w:rPr>
                      <w:color w:val="auto"/>
                      <w:highlight w:val="none"/>
                    </w:rPr>
                  </w:pPr>
                  <w:r>
                    <w:rPr>
                      <w:rFonts w:hint="eastAsia"/>
                      <w:color w:val="auto"/>
                      <w:highlight w:val="none"/>
                    </w:rPr>
                    <w:t>防渗分区</w:t>
                  </w:r>
                </w:p>
              </w:tc>
              <w:tc>
                <w:tcPr>
                  <w:tcW w:w="825" w:type="pct"/>
                  <w:vAlign w:val="center"/>
                </w:tcPr>
                <w:p>
                  <w:pPr>
                    <w:pStyle w:val="34"/>
                    <w:tabs>
                      <w:tab w:val="center" w:pos="4153"/>
                      <w:tab w:val="right" w:pos="8306"/>
                    </w:tabs>
                    <w:rPr>
                      <w:color w:val="auto"/>
                      <w:highlight w:val="none"/>
                    </w:rPr>
                  </w:pPr>
                  <w:r>
                    <w:rPr>
                      <w:color w:val="auto"/>
                      <w:highlight w:val="none"/>
                    </w:rPr>
                    <w:t>天然包气带</w:t>
                  </w:r>
                </w:p>
                <w:p>
                  <w:pPr>
                    <w:pStyle w:val="35"/>
                    <w:rPr>
                      <w:color w:val="auto"/>
                      <w:highlight w:val="none"/>
                    </w:rPr>
                  </w:pPr>
                  <w:r>
                    <w:rPr>
                      <w:color w:val="auto"/>
                      <w:highlight w:val="none"/>
                    </w:rPr>
                    <w:t>防污性能</w:t>
                  </w:r>
                </w:p>
              </w:tc>
              <w:tc>
                <w:tcPr>
                  <w:tcW w:w="713" w:type="pct"/>
                  <w:vAlign w:val="center"/>
                </w:tcPr>
                <w:p>
                  <w:pPr>
                    <w:pStyle w:val="35"/>
                    <w:rPr>
                      <w:color w:val="auto"/>
                      <w:highlight w:val="none"/>
                    </w:rPr>
                  </w:pPr>
                  <w:r>
                    <w:rPr>
                      <w:color w:val="auto"/>
                      <w:highlight w:val="none"/>
                    </w:rPr>
                    <w:t>污染控制难易程度</w:t>
                  </w:r>
                </w:p>
              </w:tc>
              <w:tc>
                <w:tcPr>
                  <w:tcW w:w="987" w:type="pct"/>
                  <w:vAlign w:val="center"/>
                </w:tcPr>
                <w:p>
                  <w:pPr>
                    <w:pStyle w:val="35"/>
                    <w:rPr>
                      <w:color w:val="auto"/>
                      <w:highlight w:val="none"/>
                    </w:rPr>
                  </w:pPr>
                  <w:r>
                    <w:rPr>
                      <w:color w:val="auto"/>
                      <w:highlight w:val="none"/>
                    </w:rPr>
                    <w:t>污染物类型</w:t>
                  </w:r>
                </w:p>
              </w:tc>
              <w:tc>
                <w:tcPr>
                  <w:tcW w:w="1936" w:type="pct"/>
                  <w:vAlign w:val="center"/>
                </w:tcPr>
                <w:p>
                  <w:pPr>
                    <w:pStyle w:val="35"/>
                    <w:rPr>
                      <w:color w:val="auto"/>
                      <w:highlight w:val="none"/>
                    </w:rPr>
                  </w:pPr>
                  <w:r>
                    <w:rPr>
                      <w:color w:val="auto"/>
                      <w:highlight w:val="none"/>
                    </w:rPr>
                    <w:t>防渗</w:t>
                  </w:r>
                  <w:r>
                    <w:rPr>
                      <w:rFonts w:hint="eastAsia"/>
                      <w:color w:val="auto"/>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536" w:type="pct"/>
                  <w:vMerge w:val="restart"/>
                  <w:vAlign w:val="center"/>
                </w:tcPr>
                <w:p>
                  <w:pPr>
                    <w:pStyle w:val="35"/>
                    <w:rPr>
                      <w:color w:val="auto"/>
                      <w:highlight w:val="none"/>
                    </w:rPr>
                  </w:pPr>
                  <w:r>
                    <w:rPr>
                      <w:rFonts w:hint="eastAsia"/>
                      <w:color w:val="auto"/>
                      <w:highlight w:val="none"/>
                    </w:rPr>
                    <w:t>重点防渗区</w:t>
                  </w:r>
                </w:p>
              </w:tc>
              <w:tc>
                <w:tcPr>
                  <w:tcW w:w="825" w:type="pct"/>
                  <w:vAlign w:val="center"/>
                </w:tcPr>
                <w:p>
                  <w:pPr>
                    <w:pStyle w:val="35"/>
                    <w:rPr>
                      <w:color w:val="auto"/>
                      <w:highlight w:val="none"/>
                    </w:rPr>
                  </w:pPr>
                  <w:r>
                    <w:rPr>
                      <w:rFonts w:hint="eastAsia"/>
                      <w:color w:val="auto"/>
                      <w:highlight w:val="none"/>
                    </w:rPr>
                    <w:t>弱</w:t>
                  </w:r>
                </w:p>
              </w:tc>
              <w:tc>
                <w:tcPr>
                  <w:tcW w:w="713" w:type="pct"/>
                  <w:vAlign w:val="center"/>
                </w:tcPr>
                <w:p>
                  <w:pPr>
                    <w:pStyle w:val="35"/>
                    <w:rPr>
                      <w:color w:val="auto"/>
                      <w:highlight w:val="none"/>
                    </w:rPr>
                  </w:pPr>
                  <w:r>
                    <w:rPr>
                      <w:rFonts w:hint="eastAsia"/>
                      <w:color w:val="auto"/>
                      <w:highlight w:val="none"/>
                    </w:rPr>
                    <w:t>难</w:t>
                  </w:r>
                </w:p>
              </w:tc>
              <w:tc>
                <w:tcPr>
                  <w:tcW w:w="987" w:type="pct"/>
                  <w:vMerge w:val="restart"/>
                  <w:vAlign w:val="center"/>
                </w:tcPr>
                <w:p>
                  <w:pPr>
                    <w:pStyle w:val="35"/>
                    <w:rPr>
                      <w:color w:val="auto"/>
                      <w:highlight w:val="none"/>
                    </w:rPr>
                  </w:pPr>
                  <w:r>
                    <w:rPr>
                      <w:rFonts w:hint="eastAsia"/>
                      <w:color w:val="auto"/>
                      <w:highlight w:val="none"/>
                    </w:rPr>
                    <w:t>重金属、持久性有机物污染物</w:t>
                  </w:r>
                </w:p>
              </w:tc>
              <w:tc>
                <w:tcPr>
                  <w:tcW w:w="1936" w:type="pct"/>
                  <w:vMerge w:val="restart"/>
                  <w:vAlign w:val="center"/>
                </w:tcPr>
                <w:p>
                  <w:pPr>
                    <w:pStyle w:val="35"/>
                    <w:rPr>
                      <w:color w:val="auto"/>
                      <w:highlight w:val="none"/>
                    </w:rPr>
                  </w:pPr>
                  <w:r>
                    <w:rPr>
                      <w:rFonts w:hint="eastAsia"/>
                      <w:color w:val="auto"/>
                      <w:highlight w:val="none"/>
                    </w:rPr>
                    <w:t>等效黏土防渗层Mb≥6.0m，K≤1×10</w:t>
                  </w:r>
                  <w:r>
                    <w:rPr>
                      <w:rFonts w:hint="eastAsia"/>
                      <w:color w:val="auto"/>
                      <w:highlight w:val="none"/>
                      <w:vertAlign w:val="superscript"/>
                    </w:rPr>
                    <w:t>-7</w:t>
                  </w:r>
                  <w:r>
                    <w:rPr>
                      <w:rFonts w:hint="eastAsia"/>
                      <w:color w:val="auto"/>
                      <w:highlight w:val="none"/>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pPr>
                    <w:pStyle w:val="35"/>
                    <w:rPr>
                      <w:color w:val="auto"/>
                      <w:highlight w:val="none"/>
                    </w:rPr>
                  </w:pPr>
                </w:p>
              </w:tc>
              <w:tc>
                <w:tcPr>
                  <w:tcW w:w="825" w:type="pct"/>
                  <w:vAlign w:val="center"/>
                </w:tcPr>
                <w:p>
                  <w:pPr>
                    <w:pStyle w:val="35"/>
                    <w:rPr>
                      <w:color w:val="auto"/>
                      <w:highlight w:val="none"/>
                    </w:rPr>
                  </w:pPr>
                  <w:r>
                    <w:rPr>
                      <w:rFonts w:hint="eastAsia"/>
                      <w:color w:val="auto"/>
                      <w:highlight w:val="none"/>
                    </w:rPr>
                    <w:t>中-强</w:t>
                  </w:r>
                </w:p>
              </w:tc>
              <w:tc>
                <w:tcPr>
                  <w:tcW w:w="713" w:type="pct"/>
                  <w:vAlign w:val="center"/>
                </w:tcPr>
                <w:p>
                  <w:pPr>
                    <w:pStyle w:val="35"/>
                    <w:rPr>
                      <w:color w:val="auto"/>
                      <w:highlight w:val="none"/>
                    </w:rPr>
                  </w:pPr>
                  <w:r>
                    <w:rPr>
                      <w:rFonts w:hint="eastAsia"/>
                      <w:color w:val="auto"/>
                      <w:highlight w:val="none"/>
                    </w:rPr>
                    <w:t>难</w:t>
                  </w:r>
                </w:p>
              </w:tc>
              <w:tc>
                <w:tcPr>
                  <w:tcW w:w="987" w:type="pct"/>
                  <w:vMerge w:val="continue"/>
                  <w:vAlign w:val="center"/>
                </w:tcPr>
                <w:p>
                  <w:pPr>
                    <w:pStyle w:val="35"/>
                    <w:rPr>
                      <w:color w:val="auto"/>
                      <w:highlight w:val="none"/>
                    </w:rPr>
                  </w:pPr>
                </w:p>
              </w:tc>
              <w:tc>
                <w:tcPr>
                  <w:tcW w:w="1936"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pPr>
                    <w:pStyle w:val="35"/>
                    <w:rPr>
                      <w:color w:val="auto"/>
                      <w:highlight w:val="none"/>
                    </w:rPr>
                  </w:pPr>
                </w:p>
              </w:tc>
              <w:tc>
                <w:tcPr>
                  <w:tcW w:w="825" w:type="pct"/>
                  <w:vAlign w:val="center"/>
                </w:tcPr>
                <w:p>
                  <w:pPr>
                    <w:pStyle w:val="35"/>
                    <w:rPr>
                      <w:color w:val="auto"/>
                      <w:highlight w:val="none"/>
                    </w:rPr>
                  </w:pPr>
                  <w:r>
                    <w:rPr>
                      <w:rFonts w:hint="eastAsia"/>
                      <w:color w:val="auto"/>
                      <w:highlight w:val="none"/>
                    </w:rPr>
                    <w:t>弱</w:t>
                  </w:r>
                </w:p>
              </w:tc>
              <w:tc>
                <w:tcPr>
                  <w:tcW w:w="713" w:type="pct"/>
                  <w:vAlign w:val="center"/>
                </w:tcPr>
                <w:p>
                  <w:pPr>
                    <w:pStyle w:val="35"/>
                    <w:rPr>
                      <w:color w:val="auto"/>
                      <w:highlight w:val="none"/>
                    </w:rPr>
                  </w:pPr>
                  <w:r>
                    <w:rPr>
                      <w:rFonts w:hint="eastAsia"/>
                      <w:color w:val="auto"/>
                      <w:highlight w:val="none"/>
                    </w:rPr>
                    <w:t>易</w:t>
                  </w:r>
                </w:p>
              </w:tc>
              <w:tc>
                <w:tcPr>
                  <w:tcW w:w="987" w:type="pct"/>
                  <w:vMerge w:val="continue"/>
                  <w:vAlign w:val="center"/>
                </w:tcPr>
                <w:p>
                  <w:pPr>
                    <w:pStyle w:val="35"/>
                    <w:rPr>
                      <w:color w:val="auto"/>
                      <w:highlight w:val="none"/>
                    </w:rPr>
                  </w:pPr>
                </w:p>
              </w:tc>
              <w:tc>
                <w:tcPr>
                  <w:tcW w:w="1936"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restart"/>
                  <w:vAlign w:val="center"/>
                </w:tcPr>
                <w:p>
                  <w:pPr>
                    <w:pStyle w:val="35"/>
                    <w:rPr>
                      <w:color w:val="auto"/>
                      <w:highlight w:val="none"/>
                    </w:rPr>
                  </w:pPr>
                  <w:r>
                    <w:rPr>
                      <w:rFonts w:hint="eastAsia"/>
                      <w:color w:val="auto"/>
                      <w:highlight w:val="none"/>
                    </w:rPr>
                    <w:t>一般防渗区</w:t>
                  </w:r>
                </w:p>
              </w:tc>
              <w:tc>
                <w:tcPr>
                  <w:tcW w:w="825" w:type="pct"/>
                  <w:vAlign w:val="center"/>
                </w:tcPr>
                <w:p>
                  <w:pPr>
                    <w:pStyle w:val="35"/>
                    <w:rPr>
                      <w:color w:val="auto"/>
                      <w:highlight w:val="none"/>
                    </w:rPr>
                  </w:pPr>
                  <w:r>
                    <w:rPr>
                      <w:rFonts w:hint="eastAsia"/>
                      <w:color w:val="auto"/>
                      <w:highlight w:val="none"/>
                    </w:rPr>
                    <w:t>弱</w:t>
                  </w:r>
                </w:p>
              </w:tc>
              <w:tc>
                <w:tcPr>
                  <w:tcW w:w="713" w:type="pct"/>
                  <w:vAlign w:val="center"/>
                </w:tcPr>
                <w:p>
                  <w:pPr>
                    <w:pStyle w:val="35"/>
                    <w:rPr>
                      <w:color w:val="auto"/>
                      <w:highlight w:val="none"/>
                    </w:rPr>
                  </w:pPr>
                  <w:r>
                    <w:rPr>
                      <w:rFonts w:hint="eastAsia"/>
                      <w:color w:val="auto"/>
                      <w:highlight w:val="none"/>
                    </w:rPr>
                    <w:t>易-难</w:t>
                  </w:r>
                </w:p>
              </w:tc>
              <w:tc>
                <w:tcPr>
                  <w:tcW w:w="987" w:type="pct"/>
                  <w:vMerge w:val="restart"/>
                  <w:vAlign w:val="center"/>
                </w:tcPr>
                <w:p>
                  <w:pPr>
                    <w:pStyle w:val="35"/>
                    <w:rPr>
                      <w:color w:val="auto"/>
                      <w:highlight w:val="none"/>
                    </w:rPr>
                  </w:pPr>
                  <w:r>
                    <w:rPr>
                      <w:rFonts w:hint="eastAsia"/>
                      <w:color w:val="auto"/>
                      <w:highlight w:val="none"/>
                    </w:rPr>
                    <w:t>其他类型</w:t>
                  </w:r>
                </w:p>
              </w:tc>
              <w:tc>
                <w:tcPr>
                  <w:tcW w:w="1936" w:type="pct"/>
                  <w:vMerge w:val="restart"/>
                  <w:vAlign w:val="center"/>
                </w:tcPr>
                <w:p>
                  <w:pPr>
                    <w:pStyle w:val="35"/>
                    <w:rPr>
                      <w:color w:val="auto"/>
                      <w:highlight w:val="none"/>
                    </w:rPr>
                  </w:pPr>
                  <w:r>
                    <w:rPr>
                      <w:rFonts w:hint="eastAsia"/>
                      <w:color w:val="auto"/>
                      <w:highlight w:val="none"/>
                    </w:rPr>
                    <w:t>等效黏土防渗层Mb≥1.5m，K≤1×10</w:t>
                  </w:r>
                  <w:r>
                    <w:rPr>
                      <w:rFonts w:hint="eastAsia"/>
                      <w:color w:val="auto"/>
                      <w:highlight w:val="none"/>
                      <w:vertAlign w:val="superscript"/>
                    </w:rPr>
                    <w:t>-7</w:t>
                  </w:r>
                  <w:r>
                    <w:rPr>
                      <w:rFonts w:hint="eastAsia"/>
                      <w:color w:val="auto"/>
                      <w:highlight w:val="none"/>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pPr>
                    <w:pStyle w:val="35"/>
                    <w:rPr>
                      <w:color w:val="auto"/>
                      <w:highlight w:val="none"/>
                    </w:rPr>
                  </w:pPr>
                </w:p>
              </w:tc>
              <w:tc>
                <w:tcPr>
                  <w:tcW w:w="825" w:type="pct"/>
                  <w:vAlign w:val="center"/>
                </w:tcPr>
                <w:p>
                  <w:pPr>
                    <w:pStyle w:val="35"/>
                    <w:rPr>
                      <w:color w:val="auto"/>
                      <w:highlight w:val="none"/>
                    </w:rPr>
                  </w:pPr>
                  <w:r>
                    <w:rPr>
                      <w:rFonts w:hint="eastAsia"/>
                      <w:color w:val="auto"/>
                      <w:highlight w:val="none"/>
                    </w:rPr>
                    <w:t>中-强</w:t>
                  </w:r>
                </w:p>
              </w:tc>
              <w:tc>
                <w:tcPr>
                  <w:tcW w:w="713" w:type="pct"/>
                  <w:vAlign w:val="center"/>
                </w:tcPr>
                <w:p>
                  <w:pPr>
                    <w:pStyle w:val="35"/>
                    <w:rPr>
                      <w:color w:val="auto"/>
                      <w:highlight w:val="none"/>
                    </w:rPr>
                  </w:pPr>
                  <w:r>
                    <w:rPr>
                      <w:rFonts w:hint="eastAsia"/>
                      <w:color w:val="auto"/>
                      <w:highlight w:val="none"/>
                    </w:rPr>
                    <w:t>难</w:t>
                  </w:r>
                </w:p>
              </w:tc>
              <w:tc>
                <w:tcPr>
                  <w:tcW w:w="987" w:type="pct"/>
                  <w:vMerge w:val="continue"/>
                  <w:vAlign w:val="center"/>
                </w:tcPr>
                <w:p>
                  <w:pPr>
                    <w:pStyle w:val="35"/>
                    <w:rPr>
                      <w:color w:val="auto"/>
                      <w:highlight w:val="none"/>
                    </w:rPr>
                  </w:pPr>
                </w:p>
              </w:tc>
              <w:tc>
                <w:tcPr>
                  <w:tcW w:w="1936"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pPr>
                    <w:pStyle w:val="35"/>
                    <w:rPr>
                      <w:color w:val="auto"/>
                      <w:highlight w:val="none"/>
                    </w:rPr>
                  </w:pPr>
                </w:p>
              </w:tc>
              <w:tc>
                <w:tcPr>
                  <w:tcW w:w="825" w:type="pct"/>
                  <w:vAlign w:val="center"/>
                </w:tcPr>
                <w:p>
                  <w:pPr>
                    <w:pStyle w:val="35"/>
                    <w:rPr>
                      <w:color w:val="auto"/>
                      <w:highlight w:val="none"/>
                    </w:rPr>
                  </w:pPr>
                  <w:r>
                    <w:rPr>
                      <w:rFonts w:hint="eastAsia"/>
                      <w:color w:val="auto"/>
                      <w:highlight w:val="none"/>
                    </w:rPr>
                    <w:t>中</w:t>
                  </w:r>
                </w:p>
              </w:tc>
              <w:tc>
                <w:tcPr>
                  <w:tcW w:w="713" w:type="pct"/>
                  <w:vAlign w:val="center"/>
                </w:tcPr>
                <w:p>
                  <w:pPr>
                    <w:pStyle w:val="35"/>
                    <w:rPr>
                      <w:color w:val="auto"/>
                      <w:highlight w:val="none"/>
                    </w:rPr>
                  </w:pPr>
                  <w:r>
                    <w:rPr>
                      <w:rFonts w:hint="eastAsia"/>
                      <w:color w:val="auto"/>
                      <w:highlight w:val="none"/>
                    </w:rPr>
                    <w:t>易</w:t>
                  </w:r>
                </w:p>
              </w:tc>
              <w:tc>
                <w:tcPr>
                  <w:tcW w:w="987" w:type="pct"/>
                  <w:vMerge w:val="restart"/>
                  <w:vAlign w:val="center"/>
                </w:tcPr>
                <w:p>
                  <w:pPr>
                    <w:pStyle w:val="35"/>
                    <w:rPr>
                      <w:color w:val="auto"/>
                      <w:highlight w:val="none"/>
                    </w:rPr>
                  </w:pPr>
                  <w:r>
                    <w:rPr>
                      <w:rFonts w:hint="eastAsia"/>
                      <w:color w:val="auto"/>
                      <w:highlight w:val="none"/>
                    </w:rPr>
                    <w:t>重金属、持久性有机物污染物</w:t>
                  </w:r>
                </w:p>
              </w:tc>
              <w:tc>
                <w:tcPr>
                  <w:tcW w:w="1936"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Merge w:val="continue"/>
                  <w:vAlign w:val="center"/>
                </w:tcPr>
                <w:p>
                  <w:pPr>
                    <w:pStyle w:val="35"/>
                    <w:rPr>
                      <w:color w:val="auto"/>
                      <w:highlight w:val="none"/>
                    </w:rPr>
                  </w:pPr>
                </w:p>
              </w:tc>
              <w:tc>
                <w:tcPr>
                  <w:tcW w:w="825" w:type="pct"/>
                  <w:vAlign w:val="center"/>
                </w:tcPr>
                <w:p>
                  <w:pPr>
                    <w:pStyle w:val="35"/>
                    <w:rPr>
                      <w:color w:val="auto"/>
                      <w:highlight w:val="none"/>
                    </w:rPr>
                  </w:pPr>
                  <w:r>
                    <w:rPr>
                      <w:rFonts w:hint="eastAsia"/>
                      <w:color w:val="auto"/>
                      <w:highlight w:val="none"/>
                    </w:rPr>
                    <w:t>强</w:t>
                  </w:r>
                </w:p>
              </w:tc>
              <w:tc>
                <w:tcPr>
                  <w:tcW w:w="713" w:type="pct"/>
                  <w:vAlign w:val="center"/>
                </w:tcPr>
                <w:p>
                  <w:pPr>
                    <w:pStyle w:val="35"/>
                    <w:rPr>
                      <w:color w:val="auto"/>
                      <w:highlight w:val="none"/>
                    </w:rPr>
                  </w:pPr>
                  <w:r>
                    <w:rPr>
                      <w:rFonts w:hint="eastAsia"/>
                      <w:color w:val="auto"/>
                      <w:highlight w:val="none"/>
                    </w:rPr>
                    <w:t>易</w:t>
                  </w:r>
                </w:p>
              </w:tc>
              <w:tc>
                <w:tcPr>
                  <w:tcW w:w="987" w:type="pct"/>
                  <w:vMerge w:val="continue"/>
                  <w:vAlign w:val="center"/>
                </w:tcPr>
                <w:p>
                  <w:pPr>
                    <w:pStyle w:val="35"/>
                    <w:rPr>
                      <w:color w:val="auto"/>
                      <w:highlight w:val="none"/>
                    </w:rPr>
                  </w:pPr>
                </w:p>
              </w:tc>
              <w:tc>
                <w:tcPr>
                  <w:tcW w:w="1936" w:type="pct"/>
                  <w:vMerge w:val="continue"/>
                  <w:vAlign w:val="center"/>
                </w:tcPr>
                <w:p>
                  <w:pPr>
                    <w:pStyle w:val="35"/>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6" w:type="pct"/>
                  <w:vAlign w:val="center"/>
                </w:tcPr>
                <w:p>
                  <w:pPr>
                    <w:pStyle w:val="35"/>
                    <w:rPr>
                      <w:color w:val="auto"/>
                      <w:highlight w:val="none"/>
                    </w:rPr>
                  </w:pPr>
                  <w:r>
                    <w:rPr>
                      <w:rFonts w:hint="eastAsia"/>
                      <w:color w:val="auto"/>
                      <w:highlight w:val="none"/>
                    </w:rPr>
                    <w:t>简单防渗区</w:t>
                  </w:r>
                </w:p>
              </w:tc>
              <w:tc>
                <w:tcPr>
                  <w:tcW w:w="825" w:type="pct"/>
                  <w:vAlign w:val="center"/>
                </w:tcPr>
                <w:p>
                  <w:pPr>
                    <w:pStyle w:val="35"/>
                    <w:rPr>
                      <w:color w:val="auto"/>
                      <w:highlight w:val="none"/>
                    </w:rPr>
                  </w:pPr>
                  <w:r>
                    <w:rPr>
                      <w:rFonts w:hint="eastAsia"/>
                      <w:color w:val="auto"/>
                      <w:highlight w:val="none"/>
                    </w:rPr>
                    <w:t>中-强</w:t>
                  </w:r>
                </w:p>
              </w:tc>
              <w:tc>
                <w:tcPr>
                  <w:tcW w:w="713" w:type="pct"/>
                  <w:vAlign w:val="center"/>
                </w:tcPr>
                <w:p>
                  <w:pPr>
                    <w:pStyle w:val="35"/>
                    <w:rPr>
                      <w:color w:val="auto"/>
                      <w:highlight w:val="none"/>
                    </w:rPr>
                  </w:pPr>
                  <w:r>
                    <w:rPr>
                      <w:rFonts w:hint="eastAsia"/>
                      <w:color w:val="auto"/>
                      <w:highlight w:val="none"/>
                    </w:rPr>
                    <w:t>易</w:t>
                  </w:r>
                </w:p>
              </w:tc>
              <w:tc>
                <w:tcPr>
                  <w:tcW w:w="987" w:type="pct"/>
                  <w:vAlign w:val="center"/>
                </w:tcPr>
                <w:p>
                  <w:pPr>
                    <w:pStyle w:val="35"/>
                    <w:rPr>
                      <w:color w:val="auto"/>
                      <w:highlight w:val="none"/>
                    </w:rPr>
                  </w:pPr>
                  <w:r>
                    <w:rPr>
                      <w:rFonts w:hint="eastAsia"/>
                      <w:color w:val="auto"/>
                      <w:highlight w:val="none"/>
                    </w:rPr>
                    <w:t>其他类型</w:t>
                  </w:r>
                </w:p>
              </w:tc>
              <w:tc>
                <w:tcPr>
                  <w:tcW w:w="1936" w:type="pct"/>
                  <w:vAlign w:val="center"/>
                </w:tcPr>
                <w:p>
                  <w:pPr>
                    <w:pStyle w:val="35"/>
                    <w:rPr>
                      <w:color w:val="auto"/>
                      <w:highlight w:val="none"/>
                    </w:rPr>
                  </w:pPr>
                  <w:r>
                    <w:rPr>
                      <w:rFonts w:hint="eastAsia"/>
                      <w:color w:val="auto"/>
                      <w:highlight w:val="none"/>
                    </w:rPr>
                    <w:t>一般地面硬化</w:t>
                  </w:r>
                </w:p>
              </w:tc>
            </w:tr>
          </w:tbl>
          <w:p>
            <w:pPr>
              <w:pStyle w:val="32"/>
              <w:ind w:firstLine="456"/>
              <w:rPr>
                <w:color w:val="auto"/>
                <w:spacing w:val="-6"/>
                <w:highlight w:val="none"/>
              </w:rPr>
            </w:pPr>
            <w:r>
              <w:rPr>
                <w:rFonts w:hint="eastAsia"/>
                <w:color w:val="auto"/>
                <w:spacing w:val="-6"/>
                <w:highlight w:val="none"/>
              </w:rPr>
              <w:t>本项目</w:t>
            </w:r>
            <w:r>
              <w:rPr>
                <w:rFonts w:hint="eastAsia"/>
                <w:color w:val="auto"/>
                <w:highlight w:val="none"/>
                <w:lang w:val="en-US" w:eastAsia="zh-CN"/>
              </w:rPr>
              <w:t>租用</w:t>
            </w:r>
            <w:r>
              <w:rPr>
                <w:rFonts w:hint="eastAsia"/>
                <w:color w:val="auto"/>
                <w:highlight w:val="none"/>
              </w:rPr>
              <w:t>宁德保税物流中心（B型）</w:t>
            </w:r>
            <w:r>
              <w:rPr>
                <w:rFonts w:hint="eastAsia"/>
                <w:color w:val="auto"/>
                <w:highlight w:val="none"/>
                <w:lang w:val="en-US" w:eastAsia="zh-CN"/>
              </w:rPr>
              <w:t>用地</w:t>
            </w:r>
            <w:r>
              <w:rPr>
                <w:rFonts w:hint="eastAsia"/>
                <w:color w:val="auto"/>
                <w:highlight w:val="none"/>
              </w:rPr>
              <w:t>进行</w:t>
            </w:r>
            <w:r>
              <w:rPr>
                <w:rFonts w:hint="eastAsia"/>
                <w:color w:val="auto"/>
                <w:highlight w:val="none"/>
                <w:lang w:val="en-US" w:eastAsia="zh-CN"/>
              </w:rPr>
              <w:t>建设</w:t>
            </w:r>
            <w:r>
              <w:rPr>
                <w:rFonts w:hint="eastAsia"/>
                <w:color w:val="auto"/>
                <w:spacing w:val="-6"/>
                <w:highlight w:val="none"/>
              </w:rPr>
              <w:t>，根据《宁德国际物流中心工程—护岸工程及堆场地基处理工程（补充勘察）岩土工程勘察报告》，该区渗透系数：淤泥充填部分渗透系数为0.8×10</w:t>
            </w:r>
            <w:r>
              <w:rPr>
                <w:rFonts w:hint="eastAsia"/>
                <w:color w:val="auto"/>
                <w:spacing w:val="-6"/>
                <w:highlight w:val="none"/>
                <w:vertAlign w:val="superscript"/>
              </w:rPr>
              <w:t>-6</w:t>
            </w:r>
            <w:r>
              <w:rPr>
                <w:rFonts w:hint="eastAsia"/>
                <w:color w:val="auto"/>
                <w:spacing w:val="-6"/>
                <w:highlight w:val="none"/>
              </w:rPr>
              <w:t>cm/s，土层单层最小3m，平均23.51m，分布连续稳定；粉质粘土3.9~4×10</w:t>
            </w:r>
            <w:r>
              <w:rPr>
                <w:rFonts w:hint="eastAsia"/>
                <w:color w:val="auto"/>
                <w:spacing w:val="-6"/>
                <w:highlight w:val="none"/>
                <w:vertAlign w:val="superscript"/>
              </w:rPr>
              <w:t>-6</w:t>
            </w:r>
            <w:r>
              <w:rPr>
                <w:rFonts w:hint="eastAsia"/>
                <w:color w:val="auto"/>
                <w:spacing w:val="-6"/>
                <w:highlight w:val="none"/>
              </w:rPr>
              <w:t>cm/s，土层单层厚度3.46m，淤泥质土0.7×10</w:t>
            </w:r>
            <w:r>
              <w:rPr>
                <w:rFonts w:hint="eastAsia"/>
                <w:color w:val="auto"/>
                <w:spacing w:val="-6"/>
                <w:highlight w:val="none"/>
                <w:vertAlign w:val="superscript"/>
              </w:rPr>
              <w:t>-6</w:t>
            </w:r>
            <w:r>
              <w:rPr>
                <w:rFonts w:hint="eastAsia"/>
                <w:color w:val="auto"/>
                <w:spacing w:val="-6"/>
                <w:highlight w:val="none"/>
              </w:rPr>
              <w:t>cm/s，土层单层厚度2.74m，分布连续稳定。天然包气带防污性能为</w:t>
            </w:r>
            <w:r>
              <w:rPr>
                <w:rFonts w:hint="eastAsia"/>
                <w:color w:val="auto"/>
                <w:highlight w:val="none"/>
              </w:rPr>
              <w:t>中-强</w:t>
            </w:r>
            <w:r>
              <w:rPr>
                <w:rFonts w:hint="eastAsia"/>
                <w:color w:val="auto"/>
                <w:spacing w:val="-6"/>
                <w:highlight w:val="none"/>
              </w:rPr>
              <w:t>，铜精矿中含少量砷、铅、汞、镉等重金属，污染物类型属于</w:t>
            </w:r>
            <w:r>
              <w:rPr>
                <w:rFonts w:hint="eastAsia"/>
                <w:color w:val="auto"/>
                <w:highlight w:val="none"/>
              </w:rPr>
              <w:t>重金属</w:t>
            </w:r>
            <w:r>
              <w:rPr>
                <w:rFonts w:hint="eastAsia"/>
                <w:color w:val="auto"/>
                <w:spacing w:val="-6"/>
                <w:highlight w:val="none"/>
              </w:rPr>
              <w:t>，则分区防渗如下：</w:t>
            </w:r>
          </w:p>
          <w:p>
            <w:pPr>
              <w:pStyle w:val="32"/>
              <w:ind w:firstLine="456"/>
              <w:rPr>
                <w:color w:val="auto"/>
                <w:spacing w:val="-6"/>
                <w:highlight w:val="none"/>
              </w:rPr>
            </w:pPr>
            <w:r>
              <w:rPr>
                <w:rFonts w:hint="eastAsia"/>
                <w:color w:val="auto"/>
                <w:spacing w:val="-6"/>
                <w:highlight w:val="none"/>
              </w:rPr>
              <w:t>①重点防渗区</w:t>
            </w:r>
          </w:p>
          <w:p>
            <w:pPr>
              <w:pStyle w:val="32"/>
              <w:ind w:firstLine="480"/>
              <w:rPr>
                <w:color w:val="auto"/>
                <w:highlight w:val="none"/>
              </w:rPr>
            </w:pPr>
            <w:r>
              <w:rPr>
                <w:rFonts w:hint="eastAsia"/>
                <w:color w:val="auto"/>
                <w:highlight w:val="none"/>
              </w:rPr>
              <w:t>生产废水沉淀池、初期雨水池、回用水管道、</w:t>
            </w:r>
            <w:r>
              <w:rPr>
                <w:color w:val="auto"/>
                <w:highlight w:val="none"/>
              </w:rPr>
              <w:t>危废暂存间按照《危险废物贮存污染控制标准》（GB18597-2023）的相关要求，重点污染防治区指污染地下水环境的物料泄漏后，不容易被及时发现和处理的区域。</w:t>
            </w:r>
            <w:r>
              <w:rPr>
                <w:rFonts w:hint="eastAsia"/>
                <w:color w:val="auto"/>
                <w:highlight w:val="none"/>
              </w:rPr>
              <w:t>按</w:t>
            </w:r>
            <w:r>
              <w:rPr>
                <w:color w:val="auto"/>
                <w:highlight w:val="none"/>
              </w:rPr>
              <w:t>照《危险废物贮</w:t>
            </w:r>
            <w:r>
              <w:rPr>
                <w:color w:val="auto"/>
                <w:spacing w:val="-1"/>
                <w:highlight w:val="none"/>
              </w:rPr>
              <w:t>存污染控制标准》</w:t>
            </w:r>
            <w:r>
              <w:rPr>
                <w:rFonts w:eastAsia="Times New Roman"/>
                <w:color w:val="auto"/>
                <w:spacing w:val="-1"/>
                <w:highlight w:val="none"/>
              </w:rPr>
              <w:t>(GB18597-2023)</w:t>
            </w:r>
            <w:r>
              <w:rPr>
                <w:color w:val="auto"/>
                <w:spacing w:val="-1"/>
                <w:highlight w:val="none"/>
              </w:rPr>
              <w:t>的要求进行防渗设计，即防渗层为至少1m厚粘土层（渗透系数≤</w:t>
            </w:r>
            <w:r>
              <w:rPr>
                <w:color w:val="auto"/>
                <w:highlight w:val="none"/>
              </w:rPr>
              <w:t>1.0×10</w:t>
            </w:r>
            <w:r>
              <w:rPr>
                <w:color w:val="auto"/>
                <w:highlight w:val="none"/>
                <w:vertAlign w:val="superscript"/>
              </w:rPr>
              <w:t>-7</w:t>
            </w:r>
            <w:r>
              <w:rPr>
                <w:color w:val="auto"/>
                <w:highlight w:val="none"/>
              </w:rPr>
              <w:t>cm/s</w:t>
            </w:r>
            <w:r>
              <w:rPr>
                <w:color w:val="auto"/>
                <w:spacing w:val="-1"/>
                <w:highlight w:val="none"/>
              </w:rPr>
              <w:t>），或2mm厚高密度聚乙烯或至少2mm厚的其他人工材料，</w:t>
            </w:r>
            <w:r>
              <w:rPr>
                <w:color w:val="auto"/>
                <w:highlight w:val="none"/>
              </w:rPr>
              <w:t>渗透系数≤1.0×10</w:t>
            </w:r>
            <w:r>
              <w:rPr>
                <w:color w:val="auto"/>
                <w:highlight w:val="none"/>
                <w:vertAlign w:val="superscript"/>
              </w:rPr>
              <w:t>-</w:t>
            </w:r>
            <w:r>
              <w:rPr>
                <w:rFonts w:hint="eastAsia"/>
                <w:color w:val="auto"/>
                <w:highlight w:val="none"/>
                <w:vertAlign w:val="superscript"/>
              </w:rPr>
              <w:t>10</w:t>
            </w:r>
            <w:r>
              <w:rPr>
                <w:color w:val="auto"/>
                <w:highlight w:val="none"/>
              </w:rPr>
              <w:t>cm/s。</w:t>
            </w:r>
          </w:p>
          <w:p>
            <w:pPr>
              <w:pStyle w:val="32"/>
              <w:ind w:firstLine="480"/>
              <w:rPr>
                <w:color w:val="auto"/>
                <w:highlight w:val="none"/>
              </w:rPr>
            </w:pPr>
            <w:r>
              <w:rPr>
                <w:color w:val="auto"/>
                <w:highlight w:val="none"/>
              </w:rPr>
              <w:t>②一般防渗区</w:t>
            </w:r>
          </w:p>
          <w:p>
            <w:pPr>
              <w:pStyle w:val="32"/>
              <w:ind w:firstLine="480"/>
              <w:rPr>
                <w:color w:val="auto"/>
                <w:highlight w:val="none"/>
              </w:rPr>
            </w:pPr>
            <w:r>
              <w:rPr>
                <w:rFonts w:hint="eastAsia"/>
                <w:color w:val="auto"/>
                <w:highlight w:val="none"/>
              </w:rPr>
              <w:t>一般固废暂存间属于一般污染防治区，一般污染防治区的防渗性能应与1.5m厚粘土层(渗透系数1.0×10</w:t>
            </w:r>
            <w:r>
              <w:rPr>
                <w:rFonts w:hint="eastAsia"/>
                <w:color w:val="auto"/>
                <w:highlight w:val="none"/>
                <w:vertAlign w:val="superscript"/>
              </w:rPr>
              <w:t>-7</w:t>
            </w:r>
            <w:r>
              <w:rPr>
                <w:rFonts w:hint="eastAsia"/>
                <w:color w:val="auto"/>
                <w:highlight w:val="none"/>
              </w:rPr>
              <w:t>cm/s)等效。</w:t>
            </w:r>
          </w:p>
          <w:p>
            <w:pPr>
              <w:pStyle w:val="32"/>
              <w:ind w:firstLine="480"/>
              <w:rPr>
                <w:color w:val="auto"/>
                <w:highlight w:val="none"/>
              </w:rPr>
            </w:pPr>
            <w:r>
              <w:rPr>
                <w:rFonts w:hint="eastAsia"/>
                <w:color w:val="auto"/>
                <w:highlight w:val="none"/>
              </w:rPr>
              <w:t>③简单防渗区</w:t>
            </w:r>
          </w:p>
          <w:p>
            <w:pPr>
              <w:pStyle w:val="32"/>
              <w:ind w:firstLine="480"/>
              <w:rPr>
                <w:color w:val="auto"/>
                <w:highlight w:val="none"/>
              </w:rPr>
            </w:pPr>
            <w:r>
              <w:rPr>
                <w:rFonts w:hint="eastAsia"/>
                <w:color w:val="auto"/>
                <w:highlight w:val="none"/>
              </w:rPr>
              <w:t>生产车间内污染物容易控制，仅需一般地面硬化。</w:t>
            </w:r>
          </w:p>
          <w:p>
            <w:pPr>
              <w:pStyle w:val="32"/>
              <w:ind w:firstLine="480"/>
              <w:rPr>
                <w:color w:val="auto"/>
                <w:highlight w:val="none"/>
              </w:rPr>
            </w:pPr>
            <w:r>
              <w:rPr>
                <w:rFonts w:hint="eastAsia"/>
                <w:color w:val="auto"/>
                <w:highlight w:val="none"/>
              </w:rPr>
              <w:t>为保证防渗工程正常施工、运行，达到设计防渗等级，应对工程质量进行管理控制。</w:t>
            </w:r>
          </w:p>
          <w:p>
            <w:pPr>
              <w:pStyle w:val="36"/>
              <w:rPr>
                <w:b/>
                <w:bCs/>
                <w:color w:val="auto"/>
                <w:highlight w:val="none"/>
              </w:rPr>
            </w:pPr>
            <w:r>
              <w:rPr>
                <w:rFonts w:hint="eastAsia"/>
                <w:b/>
                <w:bCs/>
                <w:color w:val="auto"/>
                <w:highlight w:val="none"/>
              </w:rPr>
              <w:t>表4.2.2</w:t>
            </w:r>
            <w:r>
              <w:rPr>
                <w:rFonts w:hint="eastAsia"/>
                <w:b/>
                <w:bCs/>
                <w:color w:val="auto"/>
                <w:highlight w:val="none"/>
                <w:lang w:val="en-US" w:eastAsia="zh-CN"/>
              </w:rPr>
              <w:t>8</w:t>
            </w:r>
            <w:r>
              <w:rPr>
                <w:rFonts w:hint="eastAsia"/>
                <w:b/>
                <w:bCs/>
                <w:color w:val="auto"/>
                <w:highlight w:val="none"/>
              </w:rPr>
              <w:t xml:space="preserve">  地下水污染区分类表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1199"/>
              <w:gridCol w:w="1933"/>
              <w:gridCol w:w="1559"/>
              <w:gridCol w:w="3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pStyle w:val="35"/>
                    <w:rPr>
                      <w:color w:val="auto"/>
                      <w:highlight w:val="none"/>
                    </w:rPr>
                  </w:pPr>
                  <w:r>
                    <w:rPr>
                      <w:rFonts w:hint="eastAsia"/>
                      <w:color w:val="auto"/>
                      <w:highlight w:val="none"/>
                    </w:rPr>
                    <w:t>序号</w:t>
                  </w:r>
                </w:p>
              </w:tc>
              <w:tc>
                <w:tcPr>
                  <w:tcW w:w="646" w:type="pct"/>
                  <w:vAlign w:val="center"/>
                </w:tcPr>
                <w:p>
                  <w:pPr>
                    <w:pStyle w:val="35"/>
                    <w:rPr>
                      <w:color w:val="auto"/>
                      <w:highlight w:val="none"/>
                    </w:rPr>
                  </w:pPr>
                  <w:r>
                    <w:rPr>
                      <w:rFonts w:hint="eastAsia"/>
                      <w:color w:val="auto"/>
                      <w:highlight w:val="none"/>
                    </w:rPr>
                    <w:t>防渗分区</w:t>
                  </w:r>
                </w:p>
              </w:tc>
              <w:tc>
                <w:tcPr>
                  <w:tcW w:w="1041" w:type="pct"/>
                  <w:vAlign w:val="center"/>
                </w:tcPr>
                <w:p>
                  <w:pPr>
                    <w:pStyle w:val="35"/>
                    <w:rPr>
                      <w:color w:val="auto"/>
                      <w:highlight w:val="none"/>
                    </w:rPr>
                  </w:pPr>
                  <w:r>
                    <w:rPr>
                      <w:rFonts w:hint="eastAsia"/>
                      <w:color w:val="auto"/>
                      <w:highlight w:val="none"/>
                    </w:rPr>
                    <w:t>装置或区域名称</w:t>
                  </w:r>
                </w:p>
              </w:tc>
              <w:tc>
                <w:tcPr>
                  <w:tcW w:w="840" w:type="pct"/>
                  <w:vAlign w:val="center"/>
                </w:tcPr>
                <w:p>
                  <w:pPr>
                    <w:jc w:val="center"/>
                    <w:rPr>
                      <w:color w:val="auto"/>
                      <w:highlight w:val="none"/>
                    </w:rPr>
                  </w:pPr>
                  <w:r>
                    <w:rPr>
                      <w:rFonts w:hint="eastAsia"/>
                      <w:color w:val="auto"/>
                      <w:highlight w:val="none"/>
                    </w:rPr>
                    <w:t>防渗区域</w:t>
                  </w:r>
                </w:p>
              </w:tc>
              <w:tc>
                <w:tcPr>
                  <w:tcW w:w="2083" w:type="pct"/>
                  <w:vAlign w:val="center"/>
                </w:tcPr>
                <w:p>
                  <w:pPr>
                    <w:pStyle w:val="35"/>
                    <w:rPr>
                      <w:color w:val="auto"/>
                      <w:highlight w:val="none"/>
                    </w:rPr>
                  </w:pPr>
                  <w:r>
                    <w:rPr>
                      <w:color w:val="auto"/>
                      <w:highlight w:val="none"/>
                    </w:rPr>
                    <w:t>防渗</w:t>
                  </w:r>
                  <w:r>
                    <w:rPr>
                      <w:rFonts w:hint="eastAsia"/>
                      <w:color w:val="auto"/>
                      <w:highlight w:val="none"/>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388" w:type="pct"/>
                  <w:vAlign w:val="center"/>
                </w:tcPr>
                <w:p>
                  <w:pPr>
                    <w:pStyle w:val="35"/>
                    <w:rPr>
                      <w:color w:val="auto"/>
                      <w:highlight w:val="none"/>
                    </w:rPr>
                  </w:pPr>
                  <w:r>
                    <w:rPr>
                      <w:rFonts w:hint="eastAsia"/>
                      <w:color w:val="auto"/>
                      <w:highlight w:val="none"/>
                    </w:rPr>
                    <w:t>1</w:t>
                  </w:r>
                </w:p>
              </w:tc>
              <w:tc>
                <w:tcPr>
                  <w:tcW w:w="646" w:type="pct"/>
                  <w:vAlign w:val="center"/>
                </w:tcPr>
                <w:p>
                  <w:pPr>
                    <w:pStyle w:val="35"/>
                    <w:rPr>
                      <w:color w:val="auto"/>
                      <w:highlight w:val="none"/>
                    </w:rPr>
                  </w:pPr>
                  <w:r>
                    <w:rPr>
                      <w:rFonts w:hint="eastAsia"/>
                      <w:color w:val="auto"/>
                      <w:highlight w:val="none"/>
                    </w:rPr>
                    <w:t>重点防渗区</w:t>
                  </w:r>
                </w:p>
              </w:tc>
              <w:tc>
                <w:tcPr>
                  <w:tcW w:w="1041" w:type="pct"/>
                  <w:vAlign w:val="center"/>
                </w:tcPr>
                <w:p>
                  <w:pPr>
                    <w:pStyle w:val="35"/>
                    <w:rPr>
                      <w:color w:val="auto"/>
                      <w:highlight w:val="none"/>
                    </w:rPr>
                  </w:pPr>
                  <w:r>
                    <w:rPr>
                      <w:rFonts w:hint="eastAsia"/>
                      <w:color w:val="auto"/>
                      <w:highlight w:val="none"/>
                    </w:rPr>
                    <w:t>生产废水</w:t>
                  </w:r>
                  <w:r>
                    <w:rPr>
                      <w:rFonts w:hint="eastAsia"/>
                      <w:color w:val="auto"/>
                      <w:highlight w:val="none"/>
                      <w:lang w:val="en-US" w:eastAsia="zh-CN"/>
                    </w:rPr>
                    <w:t>处理区</w:t>
                  </w:r>
                  <w:r>
                    <w:rPr>
                      <w:rFonts w:hint="eastAsia"/>
                      <w:color w:val="auto"/>
                      <w:highlight w:val="none"/>
                    </w:rPr>
                    <w:t>、回用水管道、初期雨水池、</w:t>
                  </w:r>
                  <w:r>
                    <w:rPr>
                      <w:color w:val="auto"/>
                      <w:highlight w:val="none"/>
                    </w:rPr>
                    <w:t>危废暂存间</w:t>
                  </w:r>
                </w:p>
              </w:tc>
              <w:tc>
                <w:tcPr>
                  <w:tcW w:w="840" w:type="pct"/>
                  <w:vAlign w:val="center"/>
                </w:tcPr>
                <w:p>
                  <w:pPr>
                    <w:pStyle w:val="35"/>
                    <w:rPr>
                      <w:color w:val="auto"/>
                      <w:highlight w:val="none"/>
                    </w:rPr>
                  </w:pPr>
                  <w:r>
                    <w:rPr>
                      <w:color w:val="auto"/>
                      <w:highlight w:val="none"/>
                    </w:rPr>
                    <w:t>地面及地面裙边防渗</w:t>
                  </w:r>
                </w:p>
              </w:tc>
              <w:tc>
                <w:tcPr>
                  <w:tcW w:w="2083" w:type="pct"/>
                  <w:vAlign w:val="center"/>
                </w:tcPr>
                <w:p>
                  <w:pPr>
                    <w:pStyle w:val="35"/>
                    <w:rPr>
                      <w:color w:val="auto"/>
                      <w:highlight w:val="none"/>
                    </w:rPr>
                  </w:pPr>
                  <w:r>
                    <w:rPr>
                      <w:color w:val="auto"/>
                      <w:highlight w:val="none"/>
                    </w:rPr>
                    <w:t>《危险废物贮存污染控制标准》（GB18597-2023）防渗要求</w:t>
                  </w:r>
                  <w:r>
                    <w:rPr>
                      <w:rFonts w:hint="eastAsia"/>
                      <w:color w:val="auto"/>
                      <w:highlight w:val="none"/>
                    </w:rPr>
                    <w:t>：</w:t>
                  </w:r>
                  <w:r>
                    <w:rPr>
                      <w:color w:val="auto"/>
                      <w:spacing w:val="-1"/>
                      <w:highlight w:val="none"/>
                    </w:rPr>
                    <w:t>防渗层为至少1m厚粘土层（渗透系数≤</w:t>
                  </w:r>
                  <w:r>
                    <w:rPr>
                      <w:color w:val="auto"/>
                      <w:highlight w:val="none"/>
                    </w:rPr>
                    <w:t>1.0×10</w:t>
                  </w:r>
                  <w:r>
                    <w:rPr>
                      <w:color w:val="auto"/>
                      <w:highlight w:val="none"/>
                      <w:vertAlign w:val="superscript"/>
                    </w:rPr>
                    <w:t>-7</w:t>
                  </w:r>
                  <w:r>
                    <w:rPr>
                      <w:color w:val="auto"/>
                      <w:highlight w:val="none"/>
                    </w:rPr>
                    <w:t>cm/s</w:t>
                  </w:r>
                  <w:r>
                    <w:rPr>
                      <w:color w:val="auto"/>
                      <w:spacing w:val="-1"/>
                      <w:highlight w:val="none"/>
                    </w:rPr>
                    <w:t>），或2mm厚高密度聚乙烯或至少2mm厚的其他人工材料，</w:t>
                  </w:r>
                  <w:r>
                    <w:rPr>
                      <w:color w:val="auto"/>
                      <w:highlight w:val="none"/>
                    </w:rPr>
                    <w:t>渗透系数≤1.0×10</w:t>
                  </w:r>
                  <w:r>
                    <w:rPr>
                      <w:color w:val="auto"/>
                      <w:highlight w:val="none"/>
                      <w:vertAlign w:val="superscript"/>
                    </w:rPr>
                    <w:t>-</w:t>
                  </w:r>
                  <w:r>
                    <w:rPr>
                      <w:rFonts w:hint="eastAsia"/>
                      <w:color w:val="auto"/>
                      <w:highlight w:val="none"/>
                      <w:vertAlign w:val="superscript"/>
                    </w:rPr>
                    <w:t>10</w:t>
                  </w:r>
                  <w:r>
                    <w:rPr>
                      <w:color w:val="auto"/>
                      <w:highlight w:val="none"/>
                    </w:rPr>
                    <w:t>cm/s</w:t>
                  </w:r>
                  <w:r>
                    <w:rPr>
                      <w:rFonts w:hint="eastAsia"/>
                      <w:color w:val="auto"/>
                      <w:highlight w:val="none"/>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pStyle w:val="35"/>
                    <w:rPr>
                      <w:color w:val="auto"/>
                      <w:highlight w:val="none"/>
                    </w:rPr>
                  </w:pPr>
                  <w:r>
                    <w:rPr>
                      <w:rFonts w:hint="eastAsia"/>
                      <w:color w:val="auto"/>
                      <w:highlight w:val="none"/>
                    </w:rPr>
                    <w:t>2</w:t>
                  </w:r>
                </w:p>
              </w:tc>
              <w:tc>
                <w:tcPr>
                  <w:tcW w:w="646" w:type="pct"/>
                  <w:vAlign w:val="center"/>
                </w:tcPr>
                <w:p>
                  <w:pPr>
                    <w:pStyle w:val="35"/>
                    <w:rPr>
                      <w:color w:val="auto"/>
                      <w:highlight w:val="none"/>
                    </w:rPr>
                  </w:pPr>
                  <w:r>
                    <w:rPr>
                      <w:rFonts w:hint="eastAsia"/>
                      <w:color w:val="auto"/>
                      <w:highlight w:val="none"/>
                    </w:rPr>
                    <w:t>一般防渗区</w:t>
                  </w:r>
                </w:p>
              </w:tc>
              <w:tc>
                <w:tcPr>
                  <w:tcW w:w="1041" w:type="pct"/>
                  <w:vAlign w:val="center"/>
                </w:tcPr>
                <w:p>
                  <w:pPr>
                    <w:pStyle w:val="35"/>
                    <w:rPr>
                      <w:color w:val="auto"/>
                      <w:highlight w:val="none"/>
                    </w:rPr>
                  </w:pPr>
                  <w:r>
                    <w:rPr>
                      <w:rFonts w:hint="eastAsia"/>
                      <w:color w:val="auto"/>
                      <w:highlight w:val="none"/>
                    </w:rPr>
                    <w:t>一般固废暂存间</w:t>
                  </w:r>
                </w:p>
              </w:tc>
              <w:tc>
                <w:tcPr>
                  <w:tcW w:w="840" w:type="pct"/>
                  <w:vAlign w:val="center"/>
                </w:tcPr>
                <w:p>
                  <w:pPr>
                    <w:pStyle w:val="35"/>
                    <w:rPr>
                      <w:color w:val="auto"/>
                      <w:highlight w:val="none"/>
                    </w:rPr>
                  </w:pPr>
                  <w:r>
                    <w:rPr>
                      <w:rFonts w:hint="eastAsia"/>
                      <w:color w:val="auto"/>
                      <w:highlight w:val="none"/>
                    </w:rPr>
                    <w:t>地面</w:t>
                  </w:r>
                </w:p>
              </w:tc>
              <w:tc>
                <w:tcPr>
                  <w:tcW w:w="2083" w:type="pct"/>
                  <w:vAlign w:val="center"/>
                </w:tcPr>
                <w:p>
                  <w:pPr>
                    <w:pStyle w:val="35"/>
                    <w:rPr>
                      <w:color w:val="auto"/>
                      <w:highlight w:val="none"/>
                    </w:rPr>
                  </w:pPr>
                  <w:r>
                    <w:rPr>
                      <w:rFonts w:hint="eastAsia"/>
                      <w:color w:val="auto"/>
                      <w:highlight w:val="none"/>
                    </w:rPr>
                    <w:t>等效黏土防渗层Mb≥1.5m，K≤1×10</w:t>
                  </w:r>
                  <w:r>
                    <w:rPr>
                      <w:rFonts w:hint="eastAsia"/>
                      <w:color w:val="auto"/>
                      <w:highlight w:val="none"/>
                      <w:vertAlign w:val="superscript"/>
                    </w:rPr>
                    <w:t>-7</w:t>
                  </w:r>
                  <w:r>
                    <w:rPr>
                      <w:rFonts w:hint="eastAsia"/>
                      <w:color w:val="auto"/>
                      <w:highlight w:val="none"/>
                    </w:rPr>
                    <w:t>cm/s；或参照GB18598执行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 w:type="pct"/>
                  <w:vAlign w:val="center"/>
                </w:tcPr>
                <w:p>
                  <w:pPr>
                    <w:pStyle w:val="35"/>
                    <w:rPr>
                      <w:color w:val="auto"/>
                      <w:highlight w:val="none"/>
                    </w:rPr>
                  </w:pPr>
                  <w:r>
                    <w:rPr>
                      <w:rFonts w:hint="eastAsia"/>
                      <w:color w:val="auto"/>
                      <w:highlight w:val="none"/>
                    </w:rPr>
                    <w:t>3</w:t>
                  </w:r>
                </w:p>
              </w:tc>
              <w:tc>
                <w:tcPr>
                  <w:tcW w:w="646" w:type="pct"/>
                  <w:vAlign w:val="center"/>
                </w:tcPr>
                <w:p>
                  <w:pPr>
                    <w:pStyle w:val="35"/>
                    <w:rPr>
                      <w:color w:val="auto"/>
                      <w:highlight w:val="none"/>
                    </w:rPr>
                  </w:pPr>
                  <w:r>
                    <w:rPr>
                      <w:rFonts w:hint="eastAsia"/>
                      <w:color w:val="auto"/>
                      <w:highlight w:val="none"/>
                    </w:rPr>
                    <w:t>简单防渗区</w:t>
                  </w:r>
                </w:p>
              </w:tc>
              <w:tc>
                <w:tcPr>
                  <w:tcW w:w="1041" w:type="pct"/>
                  <w:vAlign w:val="center"/>
                </w:tcPr>
                <w:p>
                  <w:pPr>
                    <w:pStyle w:val="35"/>
                    <w:rPr>
                      <w:color w:val="auto"/>
                      <w:highlight w:val="none"/>
                    </w:rPr>
                  </w:pPr>
                  <w:r>
                    <w:rPr>
                      <w:rFonts w:hint="eastAsia"/>
                      <w:color w:val="auto"/>
                      <w:highlight w:val="none"/>
                    </w:rPr>
                    <w:t>生产车间</w:t>
                  </w:r>
                </w:p>
              </w:tc>
              <w:tc>
                <w:tcPr>
                  <w:tcW w:w="840" w:type="pct"/>
                  <w:vAlign w:val="center"/>
                </w:tcPr>
                <w:p>
                  <w:pPr>
                    <w:pStyle w:val="35"/>
                    <w:rPr>
                      <w:color w:val="auto"/>
                      <w:highlight w:val="none"/>
                    </w:rPr>
                  </w:pPr>
                  <w:r>
                    <w:rPr>
                      <w:rFonts w:hint="eastAsia"/>
                      <w:color w:val="auto"/>
                      <w:highlight w:val="none"/>
                    </w:rPr>
                    <w:t>地面</w:t>
                  </w:r>
                </w:p>
              </w:tc>
              <w:tc>
                <w:tcPr>
                  <w:tcW w:w="2083" w:type="pct"/>
                  <w:vAlign w:val="center"/>
                </w:tcPr>
                <w:p>
                  <w:pPr>
                    <w:pStyle w:val="35"/>
                    <w:rPr>
                      <w:color w:val="auto"/>
                      <w:highlight w:val="none"/>
                    </w:rPr>
                  </w:pPr>
                  <w:r>
                    <w:rPr>
                      <w:rFonts w:hint="eastAsia"/>
                      <w:color w:val="auto"/>
                      <w:highlight w:val="none"/>
                    </w:rPr>
                    <w:t>一般地面硬化</w:t>
                  </w:r>
                </w:p>
              </w:tc>
            </w:tr>
          </w:tbl>
          <w:p>
            <w:pPr>
              <w:pStyle w:val="29"/>
              <w:tabs>
                <w:tab w:val="left" w:pos="644"/>
              </w:tabs>
              <w:rPr>
                <w:color w:val="auto"/>
                <w:highlight w:val="none"/>
              </w:rPr>
            </w:pPr>
            <w:r>
              <w:rPr>
                <w:rFonts w:hint="eastAsia"/>
                <w:color w:val="auto"/>
                <w:highlight w:val="none"/>
              </w:rPr>
              <w:t>4.2.6 土壤环境影响及防控措施</w:t>
            </w:r>
          </w:p>
          <w:p>
            <w:pPr>
              <w:pStyle w:val="32"/>
              <w:ind w:firstLine="480"/>
              <w:rPr>
                <w:color w:val="auto"/>
                <w:highlight w:val="none"/>
              </w:rPr>
            </w:pPr>
            <w:r>
              <w:rPr>
                <w:rFonts w:hint="eastAsia"/>
                <w:color w:val="auto"/>
                <w:highlight w:val="none"/>
              </w:rPr>
              <w:t>本项目为污染影响型项目，按照《环境影响评价技术导则土壤环境（试行）》（HJ964-2018）“第6.2.2 污染影响型”中有关规定，根据土壤环境影响评价项目类别、占地规模与敏感程度划分评价工作等级，根据《环境影响评价技术导则土壤环境（试行）》（HJ964-2018）中附录A“表A.1 土壤环境影响评价项目类别”，项目属于“金属冶炼和压延加工及非金属矿物制品”中“其他”类别，为Ⅳ类项目。因此，本评价不开展土壤环境影响评价工作。</w:t>
            </w:r>
          </w:p>
          <w:p>
            <w:pPr>
              <w:pStyle w:val="32"/>
              <w:ind w:firstLine="480"/>
              <w:rPr>
                <w:color w:val="auto"/>
                <w:highlight w:val="none"/>
              </w:rPr>
            </w:pPr>
            <w:r>
              <w:rPr>
                <w:rFonts w:hint="eastAsia"/>
                <w:color w:val="auto"/>
                <w:highlight w:val="none"/>
              </w:rPr>
              <w:t>1.土壤污染途径分析</w:t>
            </w:r>
          </w:p>
          <w:p>
            <w:pPr>
              <w:pStyle w:val="32"/>
              <w:ind w:firstLine="480"/>
              <w:rPr>
                <w:color w:val="auto"/>
                <w:highlight w:val="none"/>
              </w:rPr>
            </w:pPr>
            <w:r>
              <w:rPr>
                <w:rFonts w:hint="eastAsia"/>
                <w:color w:val="auto"/>
                <w:highlight w:val="none"/>
              </w:rPr>
              <w:t>根据拟建项目实际情况，该项目土壤污染将以废气、固废污染型为主，主要污染途径包括：</w:t>
            </w:r>
          </w:p>
          <w:p>
            <w:pPr>
              <w:pStyle w:val="32"/>
              <w:ind w:firstLine="480"/>
              <w:rPr>
                <w:color w:val="auto"/>
                <w:highlight w:val="none"/>
              </w:rPr>
            </w:pPr>
            <w:r>
              <w:rPr>
                <w:rFonts w:hint="eastAsia"/>
                <w:color w:val="auto"/>
                <w:highlight w:val="none"/>
              </w:rPr>
              <w:t>①污水输送管道、沉淀池、初期雨水池各单体防渗层破裂、粘接缝不够密封或污水管道破裂等原因造成污染物质的渗透，从而污染土壤。</w:t>
            </w:r>
          </w:p>
          <w:p>
            <w:pPr>
              <w:pStyle w:val="32"/>
              <w:ind w:firstLine="480"/>
              <w:rPr>
                <w:color w:val="auto"/>
                <w:highlight w:val="none"/>
              </w:rPr>
            </w:pPr>
            <w:r>
              <w:rPr>
                <w:rFonts w:hint="eastAsia"/>
                <w:color w:val="auto"/>
                <w:highlight w:val="none"/>
              </w:rPr>
              <w:t>②固体废物储存场所地面防渗不当，造成固体废物渗滤液下渗污染土壤。</w:t>
            </w:r>
          </w:p>
          <w:p>
            <w:pPr>
              <w:pStyle w:val="32"/>
              <w:ind w:firstLine="480"/>
              <w:rPr>
                <w:color w:val="auto"/>
                <w:highlight w:val="none"/>
              </w:rPr>
            </w:pPr>
            <w:r>
              <w:rPr>
                <w:rFonts w:hint="eastAsia"/>
                <w:color w:val="auto"/>
                <w:highlight w:val="none"/>
              </w:rPr>
              <w:t>③地表初期雨水，通过地表径流的下渗，污染土壤。</w:t>
            </w:r>
          </w:p>
          <w:p>
            <w:pPr>
              <w:pStyle w:val="32"/>
              <w:ind w:firstLine="480"/>
              <w:rPr>
                <w:color w:val="auto"/>
                <w:highlight w:val="none"/>
              </w:rPr>
            </w:pPr>
            <w:r>
              <w:rPr>
                <w:rFonts w:hint="eastAsia"/>
                <w:color w:val="auto"/>
                <w:highlight w:val="none"/>
              </w:rPr>
              <w:t>2.土壤污染影响分析</w:t>
            </w:r>
          </w:p>
          <w:p>
            <w:pPr>
              <w:pStyle w:val="32"/>
              <w:ind w:firstLine="480"/>
              <w:rPr>
                <w:color w:val="auto"/>
                <w:highlight w:val="none"/>
              </w:rPr>
            </w:pPr>
            <w:r>
              <w:rPr>
                <w:rFonts w:hint="eastAsia"/>
                <w:color w:val="auto"/>
                <w:highlight w:val="none"/>
              </w:rPr>
              <w:t>项目运营期废气主要为含重金属的粉尘，产生量极少，对区域环境空气贡献值较小，项目全过程位于</w:t>
            </w:r>
            <w:r>
              <w:rPr>
                <w:rFonts w:hint="eastAsia"/>
                <w:color w:val="auto"/>
                <w:highlight w:val="none"/>
                <w:lang w:eastAsia="zh-CN"/>
              </w:rPr>
              <w:t>封闭</w:t>
            </w:r>
            <w:r>
              <w:rPr>
                <w:rFonts w:hint="eastAsia"/>
                <w:color w:val="auto"/>
                <w:highlight w:val="none"/>
              </w:rPr>
              <w:t>仓库内生产，对屋面初期雨水进行收集，对土壤环境的影响很小；项目污水输送采用防渗</w:t>
            </w:r>
            <w:r>
              <w:rPr>
                <w:rFonts w:hint="eastAsia"/>
                <w:color w:val="auto"/>
                <w:highlight w:val="none"/>
                <w:lang w:eastAsia="zh-CN"/>
              </w:rPr>
              <w:t>封闭</w:t>
            </w:r>
            <w:r>
              <w:rPr>
                <w:rFonts w:hint="eastAsia"/>
                <w:color w:val="auto"/>
                <w:highlight w:val="none"/>
              </w:rPr>
              <w:t>管道，污水产生和储存处、危废间等各构筑物及地坪均采取防渗措施后，拟建项目建设和生产对土壤的影响较小。</w:t>
            </w:r>
          </w:p>
          <w:p>
            <w:pPr>
              <w:pStyle w:val="32"/>
              <w:ind w:firstLine="480"/>
              <w:rPr>
                <w:color w:val="auto"/>
                <w:spacing w:val="-2"/>
                <w:highlight w:val="none"/>
              </w:rPr>
            </w:pPr>
            <w:r>
              <w:rPr>
                <w:rFonts w:hint="eastAsia"/>
                <w:color w:val="auto"/>
                <w:highlight w:val="none"/>
              </w:rPr>
              <w:t>3.</w:t>
            </w:r>
            <w:r>
              <w:rPr>
                <w:rFonts w:hint="eastAsia"/>
                <w:color w:val="auto"/>
                <w:spacing w:val="-2"/>
                <w:highlight w:val="none"/>
              </w:rPr>
              <w:t>土壤污染防治措施</w:t>
            </w:r>
          </w:p>
          <w:p>
            <w:pPr>
              <w:pStyle w:val="32"/>
              <w:ind w:firstLine="472"/>
              <w:rPr>
                <w:color w:val="auto"/>
                <w:spacing w:val="-2"/>
                <w:highlight w:val="none"/>
              </w:rPr>
            </w:pPr>
            <w:r>
              <w:rPr>
                <w:rFonts w:hint="eastAsia"/>
                <w:color w:val="auto"/>
                <w:spacing w:val="-2"/>
                <w:highlight w:val="none"/>
              </w:rPr>
              <w:t>（1）源头控制措施</w:t>
            </w:r>
          </w:p>
          <w:p>
            <w:pPr>
              <w:pStyle w:val="32"/>
              <w:ind w:firstLine="472"/>
              <w:rPr>
                <w:color w:val="auto"/>
                <w:spacing w:val="-2"/>
                <w:highlight w:val="none"/>
              </w:rPr>
            </w:pPr>
            <w:r>
              <w:rPr>
                <w:rFonts w:hint="eastAsia"/>
                <w:color w:val="auto"/>
                <w:spacing w:val="-2"/>
                <w:highlight w:val="none"/>
              </w:rPr>
              <w:t>同前文地下水污染防治措施。</w:t>
            </w:r>
          </w:p>
          <w:p>
            <w:pPr>
              <w:pStyle w:val="32"/>
              <w:ind w:firstLine="472"/>
              <w:rPr>
                <w:color w:val="auto"/>
                <w:spacing w:val="-2"/>
                <w:highlight w:val="none"/>
              </w:rPr>
            </w:pPr>
            <w:r>
              <w:rPr>
                <w:rFonts w:hint="eastAsia"/>
                <w:color w:val="auto"/>
                <w:spacing w:val="-2"/>
                <w:highlight w:val="none"/>
              </w:rPr>
              <w:t>（2）过程防控措施</w:t>
            </w:r>
          </w:p>
          <w:p>
            <w:pPr>
              <w:pStyle w:val="32"/>
              <w:ind w:firstLine="480"/>
              <w:rPr>
                <w:color w:val="auto"/>
                <w:spacing w:val="-2"/>
                <w:highlight w:val="none"/>
              </w:rPr>
            </w:pPr>
            <w:r>
              <w:rPr>
                <w:color w:val="auto"/>
                <w:highlight w:val="none"/>
              </w:rPr>
              <w:t>1）分区防控措施</w:t>
            </w:r>
            <w:r>
              <w:rPr>
                <w:rFonts w:hint="eastAsia"/>
                <w:color w:val="auto"/>
                <w:highlight w:val="none"/>
              </w:rPr>
              <w:t>：同前文地下水</w:t>
            </w:r>
            <w:r>
              <w:rPr>
                <w:rFonts w:hint="eastAsia"/>
                <w:color w:val="auto"/>
                <w:spacing w:val="-2"/>
                <w:highlight w:val="none"/>
              </w:rPr>
              <w:t>污染防治措施。</w:t>
            </w:r>
          </w:p>
          <w:p>
            <w:pPr>
              <w:pStyle w:val="32"/>
              <w:ind w:firstLine="472"/>
              <w:rPr>
                <w:color w:val="auto"/>
                <w:spacing w:val="-2"/>
                <w:highlight w:val="none"/>
              </w:rPr>
            </w:pPr>
            <w:r>
              <w:rPr>
                <w:color w:val="auto"/>
                <w:spacing w:val="-2"/>
                <w:highlight w:val="none"/>
              </w:rPr>
              <w:t>2）危险废物严格按要求进行处理处置，严禁随意倾倒、丢弃；企业应分类收集危险废物，各类危险废物暂存设施应满足《危险废物贮存污染控制标准》的要求。</w:t>
            </w:r>
          </w:p>
          <w:p>
            <w:pPr>
              <w:pStyle w:val="32"/>
              <w:ind w:firstLine="472"/>
              <w:rPr>
                <w:color w:val="auto"/>
                <w:spacing w:val="-2"/>
                <w:highlight w:val="none"/>
              </w:rPr>
            </w:pPr>
            <w:r>
              <w:rPr>
                <w:color w:val="auto"/>
                <w:spacing w:val="-2"/>
                <w:highlight w:val="none"/>
              </w:rPr>
              <w:t>3）严格控制拟建项目“三废”的排放。大力推广闭路循环、清洁工艺，以减少污染物；控制污染物排放的数量和浓度，使之符合排放标准和总量要求。</w:t>
            </w:r>
          </w:p>
          <w:p>
            <w:pPr>
              <w:pStyle w:val="32"/>
              <w:ind w:firstLine="472"/>
              <w:rPr>
                <w:color w:val="auto"/>
                <w:spacing w:val="-2"/>
                <w:highlight w:val="none"/>
              </w:rPr>
            </w:pPr>
            <w:r>
              <w:rPr>
                <w:color w:val="auto"/>
                <w:spacing w:val="-2"/>
                <w:highlight w:val="none"/>
              </w:rPr>
              <w:t>4）建立土壤隐患排查治理责任制，实施隐患排查，建立隐患排查档案。</w:t>
            </w:r>
          </w:p>
          <w:p>
            <w:pPr>
              <w:pStyle w:val="32"/>
              <w:ind w:firstLine="472"/>
              <w:rPr>
                <w:color w:val="auto"/>
                <w:spacing w:val="-2"/>
                <w:highlight w:val="none"/>
              </w:rPr>
            </w:pPr>
            <w:r>
              <w:rPr>
                <w:color w:val="auto"/>
                <w:spacing w:val="-2"/>
                <w:highlight w:val="none"/>
              </w:rPr>
              <w:t>5）在生产过程中做好对设备的维护、检修，切实杜绝“跑、冒、滴、漏”现象发生，同时，应加强关键部位的安全防护、报警措施，以便及时发现事故隐患，采取有效的应对措施以防事故的发生。</w:t>
            </w:r>
          </w:p>
          <w:p>
            <w:pPr>
              <w:pStyle w:val="29"/>
              <w:tabs>
                <w:tab w:val="left" w:pos="644"/>
              </w:tabs>
              <w:rPr>
                <w:color w:val="auto"/>
                <w:highlight w:val="none"/>
              </w:rPr>
            </w:pPr>
            <w:r>
              <w:rPr>
                <w:rFonts w:hint="eastAsia"/>
                <w:color w:val="auto"/>
                <w:highlight w:val="none"/>
              </w:rPr>
              <w:t>4.2.7 环境风险分析</w:t>
            </w:r>
          </w:p>
          <w:p>
            <w:pPr>
              <w:pStyle w:val="32"/>
              <w:ind w:firstLine="480"/>
              <w:rPr>
                <w:color w:val="auto"/>
                <w:highlight w:val="none"/>
              </w:rPr>
            </w:pPr>
            <w:r>
              <w:rPr>
                <w:rFonts w:hint="eastAsia"/>
                <w:color w:val="auto"/>
                <w:highlight w:val="none"/>
              </w:rPr>
              <w:t>根据《建设项目环境风险评价技术导则》（HJ169-2018）以及《关于进一步加强环境影响评价管理防范环境风险的通知》（环发〔2012〕77号），环境风险评价应以突发性事故导致的危险物质环境急性损害防控为目标，对建设项目的环境风险进行分析、预测和评估，提出环境风险预防、控制、减缓措施。</w:t>
            </w:r>
          </w:p>
          <w:p>
            <w:pPr>
              <w:pStyle w:val="32"/>
              <w:ind w:firstLine="480"/>
              <w:rPr>
                <w:color w:val="auto"/>
                <w:highlight w:val="none"/>
              </w:rPr>
            </w:pPr>
            <w:r>
              <w:rPr>
                <w:rFonts w:hint="eastAsia"/>
                <w:color w:val="auto"/>
                <w:highlight w:val="none"/>
              </w:rPr>
              <w:t>1.环境风险物质调查</w:t>
            </w:r>
          </w:p>
          <w:p>
            <w:pPr>
              <w:pStyle w:val="32"/>
              <w:ind w:firstLine="480"/>
              <w:rPr>
                <w:color w:val="auto"/>
                <w:highlight w:val="none"/>
              </w:rPr>
            </w:pPr>
            <w:r>
              <w:rPr>
                <w:rFonts w:hint="eastAsia"/>
                <w:color w:val="auto"/>
                <w:highlight w:val="none"/>
              </w:rPr>
              <w:t>（1）危险物质储存量</w:t>
            </w:r>
          </w:p>
          <w:p>
            <w:pPr>
              <w:pStyle w:val="32"/>
              <w:ind w:firstLine="480"/>
              <w:rPr>
                <w:color w:val="auto"/>
                <w:highlight w:val="none"/>
              </w:rPr>
            </w:pPr>
            <w:r>
              <w:rPr>
                <w:rFonts w:hint="eastAsia"/>
                <w:color w:val="auto"/>
                <w:highlight w:val="none"/>
              </w:rPr>
              <w:t>根据本项目储存、使用过程中涉及的环境风险物质，同时结合《建设项目环境风险评价技术导则》（HJ169-2018）附录B中规定的重点关注的危险物质及临界量表中涉及的物质，项目危险物质储存量见表4.2.2</w:t>
            </w:r>
            <w:r>
              <w:rPr>
                <w:rFonts w:hint="eastAsia"/>
                <w:color w:val="auto"/>
                <w:highlight w:val="none"/>
                <w:lang w:val="en-US" w:eastAsia="zh-CN"/>
              </w:rPr>
              <w:t>9</w:t>
            </w:r>
            <w:r>
              <w:rPr>
                <w:rFonts w:hint="eastAsia"/>
                <w:color w:val="auto"/>
                <w:highlight w:val="none"/>
              </w:rPr>
              <w:t>。</w:t>
            </w:r>
          </w:p>
          <w:p>
            <w:pPr>
              <w:pStyle w:val="36"/>
              <w:rPr>
                <w:b/>
                <w:bCs/>
                <w:color w:val="auto"/>
                <w:highlight w:val="none"/>
                <w:lang w:val="zh-CN"/>
              </w:rPr>
            </w:pPr>
            <w:r>
              <w:rPr>
                <w:rFonts w:hint="eastAsia"/>
                <w:b/>
                <w:bCs/>
                <w:color w:val="auto"/>
                <w:highlight w:val="none"/>
                <w:lang w:val="zh-CN"/>
              </w:rPr>
              <w:t>表</w:t>
            </w:r>
            <w:r>
              <w:rPr>
                <w:rFonts w:hint="eastAsia"/>
                <w:b/>
                <w:bCs/>
                <w:color w:val="auto"/>
                <w:highlight w:val="none"/>
              </w:rPr>
              <w:t>4.2.2</w:t>
            </w:r>
            <w:r>
              <w:rPr>
                <w:rFonts w:hint="eastAsia"/>
                <w:b/>
                <w:bCs/>
                <w:color w:val="auto"/>
                <w:highlight w:val="none"/>
                <w:lang w:val="en-US" w:eastAsia="zh-CN"/>
              </w:rPr>
              <w:t>9</w:t>
            </w:r>
            <w:r>
              <w:rPr>
                <w:rFonts w:hint="eastAsia"/>
                <w:b/>
                <w:bCs/>
                <w:color w:val="auto"/>
                <w:highlight w:val="none"/>
              </w:rPr>
              <w:t xml:space="preserve"> </w:t>
            </w:r>
            <w:r>
              <w:rPr>
                <w:rFonts w:hint="eastAsia"/>
                <w:b/>
                <w:bCs/>
                <w:color w:val="auto"/>
                <w:highlight w:val="none"/>
                <w:lang w:val="zh-CN"/>
              </w:rPr>
              <w:t xml:space="preserve"> 本项目危险物质储存情况一览表</w:t>
            </w:r>
          </w:p>
          <w:tbl>
            <w:tblPr>
              <w:tblStyle w:val="2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1732"/>
              <w:gridCol w:w="2096"/>
              <w:gridCol w:w="1387"/>
              <w:gridCol w:w="1858"/>
              <w:gridCol w:w="1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495"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序号</w:t>
                  </w:r>
                </w:p>
              </w:tc>
              <w:tc>
                <w:tcPr>
                  <w:tcW w:w="933"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危险物质</w:t>
                  </w:r>
                </w:p>
              </w:tc>
              <w:tc>
                <w:tcPr>
                  <w:tcW w:w="1129"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分布情况</w:t>
                  </w:r>
                </w:p>
              </w:tc>
              <w:tc>
                <w:tcPr>
                  <w:tcW w:w="747"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CAS号</w:t>
                  </w:r>
                </w:p>
              </w:tc>
              <w:tc>
                <w:tcPr>
                  <w:tcW w:w="1001"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最大储存量</w:t>
                  </w:r>
                  <w:r>
                    <w:rPr>
                      <w:rFonts w:hint="eastAsia"/>
                      <w:snapToGrid w:val="0"/>
                      <w:color w:val="auto"/>
                      <w:szCs w:val="21"/>
                      <w:highlight w:val="none"/>
                    </w:rPr>
                    <w:t>/t</w:t>
                  </w:r>
                </w:p>
              </w:tc>
              <w:tc>
                <w:tcPr>
                  <w:tcW w:w="692"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储存方式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5" w:type="pct"/>
                  <w:vAlign w:val="center"/>
                </w:tcPr>
                <w:p>
                  <w:pPr>
                    <w:tabs>
                      <w:tab w:val="left" w:pos="0"/>
                    </w:tabs>
                    <w:adjustRightInd w:val="0"/>
                    <w:snapToGrid w:val="0"/>
                    <w:jc w:val="center"/>
                    <w:rPr>
                      <w:snapToGrid w:val="0"/>
                      <w:color w:val="auto"/>
                      <w:szCs w:val="21"/>
                      <w:highlight w:val="none"/>
                    </w:rPr>
                  </w:pPr>
                  <w:r>
                    <w:rPr>
                      <w:snapToGrid w:val="0"/>
                      <w:color w:val="auto"/>
                      <w:szCs w:val="21"/>
                      <w:highlight w:val="none"/>
                    </w:rPr>
                    <w:t>1</w:t>
                  </w:r>
                </w:p>
              </w:tc>
              <w:tc>
                <w:tcPr>
                  <w:tcW w:w="933" w:type="pct"/>
                  <w:vAlign w:val="center"/>
                </w:tcPr>
                <w:p>
                  <w:pPr>
                    <w:pStyle w:val="35"/>
                    <w:spacing w:line="240" w:lineRule="exact"/>
                    <w:rPr>
                      <w:color w:val="auto"/>
                      <w:highlight w:val="none"/>
                    </w:rPr>
                  </w:pPr>
                  <w:r>
                    <w:rPr>
                      <w:rFonts w:hint="eastAsia"/>
                      <w:color w:val="auto"/>
                      <w:kern w:val="0"/>
                      <w:highlight w:val="none"/>
                    </w:rPr>
                    <w:t>废机油</w:t>
                  </w:r>
                </w:p>
              </w:tc>
              <w:tc>
                <w:tcPr>
                  <w:tcW w:w="1129" w:type="pct"/>
                  <w:vAlign w:val="center"/>
                </w:tcPr>
                <w:p>
                  <w:pPr>
                    <w:tabs>
                      <w:tab w:val="left" w:pos="0"/>
                    </w:tabs>
                    <w:adjustRightInd w:val="0"/>
                    <w:snapToGrid w:val="0"/>
                    <w:jc w:val="center"/>
                    <w:rPr>
                      <w:snapToGrid w:val="0"/>
                      <w:color w:val="auto"/>
                      <w:szCs w:val="21"/>
                      <w:highlight w:val="none"/>
                    </w:rPr>
                  </w:pPr>
                  <w:r>
                    <w:rPr>
                      <w:rFonts w:hint="eastAsia"/>
                      <w:snapToGrid w:val="0"/>
                      <w:color w:val="auto"/>
                      <w:szCs w:val="21"/>
                      <w:highlight w:val="none"/>
                    </w:rPr>
                    <w:t>危废暂存间</w:t>
                  </w:r>
                </w:p>
              </w:tc>
              <w:tc>
                <w:tcPr>
                  <w:tcW w:w="747" w:type="pct"/>
                  <w:vAlign w:val="center"/>
                </w:tcPr>
                <w:p>
                  <w:pPr>
                    <w:tabs>
                      <w:tab w:val="left" w:pos="0"/>
                    </w:tabs>
                    <w:adjustRightInd w:val="0"/>
                    <w:snapToGrid w:val="0"/>
                    <w:jc w:val="center"/>
                    <w:rPr>
                      <w:snapToGrid w:val="0"/>
                      <w:color w:val="auto"/>
                      <w:szCs w:val="21"/>
                      <w:highlight w:val="none"/>
                    </w:rPr>
                  </w:pPr>
                  <w:r>
                    <w:rPr>
                      <w:rFonts w:hint="eastAsia"/>
                      <w:snapToGrid w:val="0"/>
                      <w:color w:val="auto"/>
                      <w:szCs w:val="21"/>
                      <w:highlight w:val="none"/>
                    </w:rPr>
                    <w:t>/</w:t>
                  </w:r>
                </w:p>
              </w:tc>
              <w:tc>
                <w:tcPr>
                  <w:tcW w:w="1001" w:type="pct"/>
                  <w:vAlign w:val="center"/>
                </w:tcPr>
                <w:p>
                  <w:pPr>
                    <w:tabs>
                      <w:tab w:val="left" w:pos="0"/>
                    </w:tabs>
                    <w:adjustRightInd w:val="0"/>
                    <w:snapToGrid w:val="0"/>
                    <w:jc w:val="center"/>
                    <w:rPr>
                      <w:snapToGrid w:val="0"/>
                      <w:color w:val="auto"/>
                      <w:szCs w:val="21"/>
                      <w:highlight w:val="none"/>
                    </w:rPr>
                  </w:pPr>
                  <w:r>
                    <w:rPr>
                      <w:rFonts w:hint="eastAsia"/>
                      <w:snapToGrid w:val="0"/>
                      <w:color w:val="auto"/>
                      <w:szCs w:val="21"/>
                      <w:highlight w:val="none"/>
                    </w:rPr>
                    <w:t>0.4</w:t>
                  </w:r>
                </w:p>
              </w:tc>
              <w:tc>
                <w:tcPr>
                  <w:tcW w:w="692" w:type="pct"/>
                  <w:vAlign w:val="center"/>
                </w:tcPr>
                <w:p>
                  <w:pPr>
                    <w:tabs>
                      <w:tab w:val="left" w:pos="0"/>
                    </w:tabs>
                    <w:adjustRightInd w:val="0"/>
                    <w:snapToGrid w:val="0"/>
                    <w:jc w:val="center"/>
                    <w:rPr>
                      <w:snapToGrid w:val="0"/>
                      <w:color w:val="auto"/>
                      <w:szCs w:val="21"/>
                      <w:highlight w:val="none"/>
                    </w:rPr>
                  </w:pPr>
                  <w:r>
                    <w:rPr>
                      <w:rFonts w:hint="eastAsia"/>
                      <w:snapToGrid w:val="0"/>
                      <w:color w:val="auto"/>
                      <w:szCs w:val="21"/>
                      <w:highlight w:val="none"/>
                    </w:rPr>
                    <w:t>铁桶密封</w:t>
                  </w:r>
                </w:p>
              </w:tc>
            </w:tr>
          </w:tbl>
          <w:p>
            <w:pPr>
              <w:pStyle w:val="32"/>
              <w:snapToGrid w:val="0"/>
              <w:ind w:firstLine="480"/>
              <w:rPr>
                <w:color w:val="auto"/>
                <w:highlight w:val="none"/>
              </w:rPr>
            </w:pPr>
            <w:r>
              <w:rPr>
                <w:rFonts w:hint="eastAsia"/>
                <w:color w:val="auto"/>
                <w:highlight w:val="none"/>
              </w:rPr>
              <w:t>（2）机油</w:t>
            </w:r>
            <w:r>
              <w:rPr>
                <w:color w:val="auto"/>
                <w:highlight w:val="none"/>
              </w:rPr>
              <w:t>理化性质及毒性</w:t>
            </w:r>
          </w:p>
          <w:p>
            <w:pPr>
              <w:spacing w:line="360" w:lineRule="auto"/>
              <w:ind w:firstLine="480"/>
              <w:rPr>
                <w:color w:val="auto"/>
                <w:sz w:val="24"/>
                <w:highlight w:val="none"/>
              </w:rPr>
            </w:pPr>
            <w:r>
              <w:rPr>
                <w:color w:val="auto"/>
                <w:sz w:val="24"/>
                <w:highlight w:val="none"/>
              </w:rPr>
              <w:t>①理化</w:t>
            </w:r>
            <w:r>
              <w:rPr>
                <w:rFonts w:hint="eastAsia"/>
                <w:color w:val="auto"/>
                <w:sz w:val="24"/>
                <w:highlight w:val="none"/>
              </w:rPr>
              <w:t>性质</w:t>
            </w:r>
          </w:p>
          <w:p>
            <w:pPr>
              <w:spacing w:line="360" w:lineRule="auto"/>
              <w:ind w:firstLine="480"/>
              <w:rPr>
                <w:color w:val="auto"/>
                <w:sz w:val="24"/>
                <w:highlight w:val="none"/>
              </w:rPr>
            </w:pPr>
            <w:r>
              <w:rPr>
                <w:rFonts w:hint="eastAsia"/>
                <w:color w:val="auto"/>
                <w:sz w:val="24"/>
                <w:highlight w:val="none"/>
              </w:rPr>
              <w:t>性状：无色或者浅黄色液体；闪点：1</w:t>
            </w:r>
            <w:r>
              <w:rPr>
                <w:color w:val="auto"/>
                <w:sz w:val="24"/>
                <w:highlight w:val="none"/>
              </w:rPr>
              <w:t>35</w:t>
            </w:r>
            <w:r>
              <w:rPr>
                <w:rFonts w:hint="eastAsia"/>
                <w:color w:val="auto"/>
                <w:sz w:val="24"/>
                <w:highlight w:val="none"/>
              </w:rPr>
              <w:t>℃；凝固点：＜-</w:t>
            </w:r>
            <w:r>
              <w:rPr>
                <w:color w:val="auto"/>
                <w:sz w:val="24"/>
                <w:highlight w:val="none"/>
              </w:rPr>
              <w:t>45</w:t>
            </w:r>
            <w:r>
              <w:rPr>
                <w:rFonts w:hint="eastAsia"/>
                <w:color w:val="auto"/>
                <w:sz w:val="24"/>
                <w:highlight w:val="none"/>
              </w:rPr>
              <w:t>℃；溶解性：不与水混溶，可混溶于醚、氯仿、甘油等多数有机溶剂。稳定性：稳定</w:t>
            </w:r>
            <w:r>
              <w:rPr>
                <w:color w:val="auto"/>
                <w:sz w:val="24"/>
                <w:highlight w:val="none"/>
              </w:rPr>
              <w:t>。</w:t>
            </w:r>
          </w:p>
          <w:p>
            <w:pPr>
              <w:spacing w:line="360" w:lineRule="auto"/>
              <w:ind w:firstLine="480"/>
              <w:rPr>
                <w:color w:val="auto"/>
                <w:sz w:val="24"/>
                <w:highlight w:val="none"/>
              </w:rPr>
            </w:pPr>
            <w:r>
              <w:rPr>
                <w:color w:val="auto"/>
                <w:sz w:val="24"/>
                <w:highlight w:val="none"/>
              </w:rPr>
              <w:t>②健康危害</w:t>
            </w:r>
          </w:p>
          <w:p>
            <w:pPr>
              <w:spacing w:line="360" w:lineRule="auto"/>
              <w:ind w:firstLine="480"/>
              <w:rPr>
                <w:color w:val="auto"/>
                <w:sz w:val="24"/>
                <w:highlight w:val="none"/>
              </w:rPr>
            </w:pPr>
            <w:r>
              <w:rPr>
                <w:rFonts w:hint="eastAsia"/>
                <w:color w:val="auto"/>
                <w:sz w:val="24"/>
                <w:highlight w:val="none"/>
              </w:rPr>
              <w:t>侵入途径：吸入，食入，经皮吸收。</w:t>
            </w:r>
          </w:p>
          <w:p>
            <w:pPr>
              <w:spacing w:line="360" w:lineRule="auto"/>
              <w:ind w:firstLine="480"/>
              <w:rPr>
                <w:color w:val="auto"/>
                <w:sz w:val="24"/>
                <w:highlight w:val="none"/>
              </w:rPr>
            </w:pPr>
            <w:r>
              <w:rPr>
                <w:rFonts w:hint="eastAsia"/>
                <w:color w:val="auto"/>
                <w:sz w:val="24"/>
                <w:highlight w:val="none"/>
              </w:rPr>
              <w:t>健康危害：空气中石油油雾限制值为5mg/m</w:t>
            </w:r>
            <w:r>
              <w:rPr>
                <w:rFonts w:hint="eastAsia"/>
                <w:color w:val="auto"/>
                <w:sz w:val="24"/>
                <w:highlight w:val="none"/>
                <w:vertAlign w:val="superscript"/>
              </w:rPr>
              <w:t>3</w:t>
            </w:r>
            <w:r>
              <w:rPr>
                <w:rFonts w:hint="eastAsia"/>
                <w:color w:val="auto"/>
                <w:sz w:val="24"/>
                <w:highlight w:val="none"/>
              </w:rPr>
              <w:t>，长期暴露和重复接触皮肤可引起皮肤刺激征状，可引起眼及上呼吸道刺激征状；有口服毒性；大量蒸汽吸入肺中时，会引起肺损伤，如浓度过高，几分钟即可引起呼吸困难等缺氧症状。</w:t>
            </w:r>
          </w:p>
          <w:p>
            <w:pPr>
              <w:spacing w:line="360" w:lineRule="auto"/>
              <w:ind w:firstLine="480"/>
              <w:rPr>
                <w:color w:val="auto"/>
                <w:sz w:val="24"/>
                <w:highlight w:val="none"/>
              </w:rPr>
            </w:pPr>
            <w:r>
              <w:rPr>
                <w:color w:val="auto"/>
                <w:sz w:val="24"/>
                <w:highlight w:val="none"/>
              </w:rPr>
              <w:t>③毒理学资料及环境行为</w:t>
            </w:r>
          </w:p>
          <w:p>
            <w:pPr>
              <w:spacing w:line="360" w:lineRule="auto"/>
              <w:ind w:firstLine="480"/>
              <w:rPr>
                <w:color w:val="auto"/>
                <w:sz w:val="24"/>
                <w:highlight w:val="none"/>
              </w:rPr>
            </w:pPr>
            <w:r>
              <w:rPr>
                <w:rFonts w:hint="eastAsia"/>
                <w:color w:val="auto"/>
                <w:sz w:val="24"/>
                <w:highlight w:val="none"/>
              </w:rPr>
              <w:t>急性毒性：/</w:t>
            </w:r>
          </w:p>
          <w:p>
            <w:pPr>
              <w:pStyle w:val="32"/>
              <w:ind w:firstLine="480"/>
              <w:rPr>
                <w:color w:val="auto"/>
                <w:highlight w:val="none"/>
              </w:rPr>
            </w:pPr>
            <w:r>
              <w:rPr>
                <w:rFonts w:hint="eastAsia"/>
                <w:color w:val="auto"/>
                <w:highlight w:val="none"/>
              </w:rPr>
              <w:t>危险特性：可燃，其蒸汽与空气可形成爆炸性混合物。遇明火、高热极易燃烧爆炸。与氧化剂能发生反应或引起燃烧。在火场中，受热的容器有爆炸危险。其蒸汽比空气重，能在较低处扩散到相当远的地方，遇明火会引着回燃</w:t>
            </w:r>
            <w:r>
              <w:rPr>
                <w:color w:val="auto"/>
                <w:highlight w:val="none"/>
              </w:rPr>
              <w:t>。</w:t>
            </w:r>
          </w:p>
          <w:p>
            <w:pPr>
              <w:pStyle w:val="32"/>
              <w:ind w:firstLine="480"/>
              <w:rPr>
                <w:color w:val="auto"/>
                <w:highlight w:val="none"/>
              </w:rPr>
            </w:pPr>
            <w:r>
              <w:rPr>
                <w:rFonts w:hint="eastAsia"/>
                <w:color w:val="auto"/>
                <w:highlight w:val="none"/>
              </w:rPr>
              <w:t>2.</w:t>
            </w:r>
            <w:r>
              <w:rPr>
                <w:color w:val="auto"/>
                <w:highlight w:val="none"/>
              </w:rPr>
              <w:t>环境风险潜势初判、评价等级</w:t>
            </w:r>
          </w:p>
          <w:p>
            <w:pPr>
              <w:pStyle w:val="32"/>
              <w:ind w:firstLine="480"/>
              <w:rPr>
                <w:color w:val="auto"/>
                <w:highlight w:val="none"/>
              </w:rPr>
            </w:pPr>
            <w:r>
              <w:rPr>
                <w:color w:val="auto"/>
                <w:highlight w:val="none"/>
              </w:rPr>
              <w:t>根据《建设项目环境风险评价技术导则》（HJ169-2018）附录C，计算所涉及的每种危险物质在厂界内的最大存在总量与其在《建设项目环境风险评价技术 导则》（HJ169-2018）附录B中对应临界量的比值Q。在不同厂区的同一种物质， 按其在厂界内的最大存在总量计算。当企业只涉及一种风险物质时，该物质的数量与其临界量的比值，即为Q。当企业存在多种化学物质时，则按下式计算物质总量与其临界量比值（Q）：</w:t>
            </w:r>
          </w:p>
          <w:p>
            <w:pPr>
              <w:pStyle w:val="32"/>
              <w:ind w:firstLine="480"/>
              <w:rPr>
                <w:color w:val="auto"/>
                <w:highlight w:val="none"/>
              </w:rPr>
            </w:pPr>
            <w:r>
              <w:rPr>
                <w:color w:val="auto"/>
                <w:highlight w:val="none"/>
              </w:rPr>
              <w:t xml:space="preserve">Q = </w:t>
            </w:r>
            <w:r>
              <w:rPr>
                <w:color w:val="auto"/>
                <w:highlight w:val="none"/>
              </w:rPr>
              <w:drawing>
                <wp:inline distT="0" distB="0" distL="114300" distR="114300">
                  <wp:extent cx="1428750" cy="419100"/>
                  <wp:effectExtent l="0" t="0" r="0" b="0"/>
                  <wp:docPr id="112" name="图片 112" descr="17389206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738920663003"/>
                          <pic:cNvPicPr>
                            <a:picLocks noChangeAspect="1"/>
                          </pic:cNvPicPr>
                        </pic:nvPicPr>
                        <pic:blipFill>
                          <a:blip r:embed="rId120"/>
                          <a:stretch>
                            <a:fillRect/>
                          </a:stretch>
                        </pic:blipFill>
                        <pic:spPr>
                          <a:xfrm>
                            <a:off x="0" y="0"/>
                            <a:ext cx="1428750" cy="419100"/>
                          </a:xfrm>
                          <a:prstGeom prst="rect">
                            <a:avLst/>
                          </a:prstGeom>
                        </pic:spPr>
                      </pic:pic>
                    </a:graphicData>
                  </a:graphic>
                </wp:inline>
              </w:drawing>
            </w:r>
          </w:p>
          <w:p>
            <w:pPr>
              <w:pStyle w:val="32"/>
              <w:ind w:firstLine="480"/>
              <w:rPr>
                <w:color w:val="auto"/>
                <w:highlight w:val="none"/>
              </w:rPr>
            </w:pPr>
            <w:r>
              <w:rPr>
                <w:color w:val="auto"/>
                <w:highlight w:val="none"/>
              </w:rPr>
              <w:t>式中：</w:t>
            </w:r>
          </w:p>
          <w:p>
            <w:pPr>
              <w:pStyle w:val="32"/>
              <w:ind w:firstLine="48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n</w:t>
            </w:r>
            <w:r>
              <w:rPr>
                <w:color w:val="auto"/>
                <w:highlight w:val="none"/>
              </w:rPr>
              <w:t>——每种危险物质的最大存在总量，t；</w:t>
            </w:r>
          </w:p>
          <w:p>
            <w:pPr>
              <w:pStyle w:val="32"/>
              <w:ind w:firstLine="480"/>
              <w:rPr>
                <w:color w:val="auto"/>
                <w:highlight w:val="none"/>
              </w:rPr>
            </w:pPr>
            <w:r>
              <w:rPr>
                <w:color w:val="auto"/>
                <w:highlight w:val="none"/>
              </w:rPr>
              <w:t>Q</w:t>
            </w:r>
            <w:r>
              <w:rPr>
                <w:color w:val="auto"/>
                <w:highlight w:val="none"/>
                <w:vertAlign w:val="subscript"/>
              </w:rPr>
              <w:t>1</w:t>
            </w:r>
            <w:r>
              <w:rPr>
                <w:color w:val="auto"/>
                <w:highlight w:val="none"/>
              </w:rPr>
              <w:t>，Q</w:t>
            </w:r>
            <w:r>
              <w:rPr>
                <w:color w:val="auto"/>
                <w:highlight w:val="none"/>
                <w:vertAlign w:val="subscript"/>
              </w:rPr>
              <w:t>2</w:t>
            </w:r>
            <w:r>
              <w:rPr>
                <w:color w:val="auto"/>
                <w:highlight w:val="none"/>
              </w:rPr>
              <w:t>，…，Q</w:t>
            </w:r>
            <w:r>
              <w:rPr>
                <w:color w:val="auto"/>
                <w:highlight w:val="none"/>
                <w:vertAlign w:val="subscript"/>
              </w:rPr>
              <w:t>N</w:t>
            </w:r>
            <w:r>
              <w:rPr>
                <w:color w:val="auto"/>
                <w:highlight w:val="none"/>
              </w:rPr>
              <w:t>——每种危险物质的临界量，单位为t。</w:t>
            </w:r>
          </w:p>
          <w:p>
            <w:pPr>
              <w:pStyle w:val="32"/>
              <w:ind w:firstLine="480"/>
              <w:rPr>
                <w:color w:val="auto"/>
                <w:highlight w:val="none"/>
              </w:rPr>
            </w:pPr>
            <w:r>
              <w:rPr>
                <w:color w:val="auto"/>
                <w:highlight w:val="none"/>
              </w:rPr>
              <w:t>当Q＜1时，该项目环境风险潜势为I。</w:t>
            </w:r>
          </w:p>
          <w:p>
            <w:pPr>
              <w:pStyle w:val="32"/>
              <w:ind w:firstLine="480"/>
              <w:rPr>
                <w:color w:val="auto"/>
                <w:highlight w:val="none"/>
              </w:rPr>
            </w:pPr>
            <w:r>
              <w:rPr>
                <w:color w:val="auto"/>
                <w:highlight w:val="none"/>
              </w:rPr>
              <w:t>当Q≥1时，将Q值划分为：（1）1≤Q＜10；（2）10≤Q＜100；（3）Q≥100。</w:t>
            </w:r>
          </w:p>
          <w:p>
            <w:pPr>
              <w:pStyle w:val="32"/>
              <w:ind w:firstLine="480"/>
              <w:rPr>
                <w:color w:val="auto"/>
                <w:highlight w:val="none"/>
              </w:rPr>
            </w:pPr>
            <w:r>
              <w:rPr>
                <w:color w:val="auto"/>
                <w:highlight w:val="none"/>
              </w:rPr>
              <w:t>本项目涉及危险物质存在量及其临界值量见表</w:t>
            </w:r>
            <w:r>
              <w:rPr>
                <w:rFonts w:hint="eastAsia"/>
                <w:color w:val="auto"/>
                <w:highlight w:val="none"/>
              </w:rPr>
              <w:t>4.2.</w:t>
            </w:r>
            <w:r>
              <w:rPr>
                <w:rFonts w:hint="eastAsia"/>
                <w:color w:val="auto"/>
                <w:highlight w:val="none"/>
                <w:lang w:val="en-US" w:eastAsia="zh-CN"/>
              </w:rPr>
              <w:t>30</w:t>
            </w:r>
            <w:r>
              <w:rPr>
                <w:color w:val="auto"/>
                <w:highlight w:val="none"/>
              </w:rPr>
              <w:t>。</w:t>
            </w:r>
          </w:p>
          <w:p>
            <w:pPr>
              <w:pStyle w:val="36"/>
              <w:rPr>
                <w:color w:val="auto"/>
                <w:highlight w:val="none"/>
              </w:rPr>
            </w:pPr>
            <w:r>
              <w:rPr>
                <w:color w:val="auto"/>
                <w:highlight w:val="none"/>
              </w:rPr>
              <w:t>表</w:t>
            </w:r>
            <w:r>
              <w:rPr>
                <w:rFonts w:hint="eastAsia"/>
                <w:color w:val="auto"/>
                <w:highlight w:val="none"/>
              </w:rPr>
              <w:t>4.2.</w:t>
            </w:r>
            <w:r>
              <w:rPr>
                <w:rFonts w:hint="eastAsia"/>
                <w:color w:val="auto"/>
                <w:highlight w:val="none"/>
                <w:lang w:val="en-US" w:eastAsia="zh-CN"/>
              </w:rPr>
              <w:t>30</w:t>
            </w:r>
            <w:r>
              <w:rPr>
                <w:color w:val="auto"/>
                <w:highlight w:val="none"/>
              </w:rPr>
              <w:t xml:space="preserve">  建设项目Q值确定表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5"/>
              <w:gridCol w:w="2316"/>
              <w:gridCol w:w="2322"/>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1248" w:type="pct"/>
                  <w:vAlign w:val="center"/>
                </w:tcPr>
                <w:p>
                  <w:pPr>
                    <w:pStyle w:val="35"/>
                    <w:spacing w:line="240" w:lineRule="exact"/>
                    <w:rPr>
                      <w:color w:val="auto"/>
                      <w:kern w:val="0"/>
                      <w:highlight w:val="none"/>
                    </w:rPr>
                  </w:pPr>
                  <w:r>
                    <w:rPr>
                      <w:color w:val="auto"/>
                      <w:kern w:val="0"/>
                      <w:highlight w:val="none"/>
                    </w:rPr>
                    <w:t>物质名称</w:t>
                  </w:r>
                </w:p>
              </w:tc>
              <w:tc>
                <w:tcPr>
                  <w:tcW w:w="1249" w:type="pct"/>
                  <w:vAlign w:val="center"/>
                </w:tcPr>
                <w:p>
                  <w:pPr>
                    <w:pStyle w:val="35"/>
                    <w:spacing w:line="240" w:lineRule="exact"/>
                    <w:rPr>
                      <w:color w:val="auto"/>
                      <w:kern w:val="0"/>
                      <w:highlight w:val="none"/>
                      <w:lang w:val="en-GB"/>
                    </w:rPr>
                  </w:pPr>
                  <w:r>
                    <w:rPr>
                      <w:color w:val="auto"/>
                      <w:kern w:val="0"/>
                      <w:highlight w:val="none"/>
                    </w:rPr>
                    <w:t>最大贮存量</w:t>
                  </w:r>
                  <w:r>
                    <w:rPr>
                      <w:color w:val="auto"/>
                      <w:kern w:val="0"/>
                      <w:highlight w:val="none"/>
                      <w:lang w:val="en-GB"/>
                    </w:rPr>
                    <w:t>q(t)</w:t>
                  </w:r>
                </w:p>
              </w:tc>
              <w:tc>
                <w:tcPr>
                  <w:tcW w:w="1252" w:type="pct"/>
                  <w:vAlign w:val="center"/>
                </w:tcPr>
                <w:p>
                  <w:pPr>
                    <w:pStyle w:val="35"/>
                    <w:spacing w:line="240" w:lineRule="exact"/>
                    <w:rPr>
                      <w:color w:val="auto"/>
                      <w:kern w:val="0"/>
                      <w:highlight w:val="none"/>
                      <w:lang w:val="en-GB"/>
                    </w:rPr>
                  </w:pPr>
                  <w:r>
                    <w:rPr>
                      <w:color w:val="auto"/>
                      <w:kern w:val="0"/>
                      <w:highlight w:val="none"/>
                    </w:rPr>
                    <w:t>临界量Q</w:t>
                  </w:r>
                  <w:r>
                    <w:rPr>
                      <w:color w:val="auto"/>
                      <w:kern w:val="0"/>
                      <w:highlight w:val="none"/>
                      <w:lang w:val="en-GB"/>
                    </w:rPr>
                    <w:t>(t)</w:t>
                  </w:r>
                </w:p>
              </w:tc>
              <w:tc>
                <w:tcPr>
                  <w:tcW w:w="1250" w:type="pct"/>
                  <w:vAlign w:val="center"/>
                </w:tcPr>
                <w:p>
                  <w:pPr>
                    <w:pStyle w:val="35"/>
                    <w:spacing w:line="240" w:lineRule="exact"/>
                    <w:rPr>
                      <w:color w:val="auto"/>
                      <w:kern w:val="0"/>
                      <w:highlight w:val="none"/>
                    </w:rPr>
                  </w:pPr>
                  <w:r>
                    <w:rPr>
                      <w:color w:val="auto"/>
                      <w:kern w:val="0"/>
                      <w:highlight w:val="none"/>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248" w:type="pct"/>
                  <w:vAlign w:val="center"/>
                </w:tcPr>
                <w:p>
                  <w:pPr>
                    <w:pStyle w:val="35"/>
                    <w:spacing w:line="240" w:lineRule="exact"/>
                    <w:rPr>
                      <w:color w:val="auto"/>
                      <w:kern w:val="0"/>
                      <w:highlight w:val="none"/>
                    </w:rPr>
                  </w:pPr>
                  <w:r>
                    <w:rPr>
                      <w:rFonts w:hint="eastAsia"/>
                      <w:color w:val="auto"/>
                      <w:kern w:val="0"/>
                      <w:highlight w:val="none"/>
                    </w:rPr>
                    <w:t>废机油</w:t>
                  </w:r>
                </w:p>
              </w:tc>
              <w:tc>
                <w:tcPr>
                  <w:tcW w:w="1249" w:type="pct"/>
                  <w:vAlign w:val="center"/>
                </w:tcPr>
                <w:p>
                  <w:pPr>
                    <w:tabs>
                      <w:tab w:val="left" w:pos="0"/>
                    </w:tabs>
                    <w:adjustRightInd w:val="0"/>
                    <w:snapToGrid w:val="0"/>
                    <w:jc w:val="center"/>
                    <w:rPr>
                      <w:color w:val="auto"/>
                      <w:highlight w:val="none"/>
                    </w:rPr>
                  </w:pPr>
                  <w:r>
                    <w:rPr>
                      <w:rFonts w:hint="eastAsia"/>
                      <w:snapToGrid w:val="0"/>
                      <w:color w:val="auto"/>
                      <w:szCs w:val="21"/>
                      <w:highlight w:val="none"/>
                    </w:rPr>
                    <w:t>0.4</w:t>
                  </w:r>
                </w:p>
              </w:tc>
              <w:tc>
                <w:tcPr>
                  <w:tcW w:w="1252" w:type="pct"/>
                  <w:vAlign w:val="center"/>
                </w:tcPr>
                <w:p>
                  <w:pPr>
                    <w:pStyle w:val="35"/>
                    <w:spacing w:line="240" w:lineRule="exact"/>
                    <w:rPr>
                      <w:color w:val="auto"/>
                      <w:kern w:val="0"/>
                      <w:highlight w:val="none"/>
                    </w:rPr>
                  </w:pPr>
                  <w:r>
                    <w:rPr>
                      <w:rFonts w:hint="eastAsia"/>
                      <w:color w:val="auto"/>
                      <w:kern w:val="0"/>
                      <w:highlight w:val="none"/>
                    </w:rPr>
                    <w:t>2500</w:t>
                  </w:r>
                </w:p>
              </w:tc>
              <w:tc>
                <w:tcPr>
                  <w:tcW w:w="1250" w:type="pct"/>
                  <w:vAlign w:val="center"/>
                </w:tcPr>
                <w:p>
                  <w:pPr>
                    <w:pStyle w:val="35"/>
                    <w:spacing w:line="240" w:lineRule="exact"/>
                    <w:rPr>
                      <w:color w:val="auto"/>
                      <w:kern w:val="0"/>
                      <w:highlight w:val="none"/>
                    </w:rPr>
                  </w:pPr>
                  <w:r>
                    <w:rPr>
                      <w:rFonts w:hint="eastAsia"/>
                      <w:color w:val="auto"/>
                      <w:kern w:val="0"/>
                      <w:highlight w:val="none"/>
                    </w:rPr>
                    <w:t>0.00016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3749" w:type="pct"/>
                  <w:gridSpan w:val="3"/>
                  <w:vAlign w:val="center"/>
                </w:tcPr>
                <w:p>
                  <w:pPr>
                    <w:pStyle w:val="35"/>
                    <w:spacing w:line="240" w:lineRule="exact"/>
                    <w:rPr>
                      <w:color w:val="auto"/>
                      <w:kern w:val="0"/>
                      <w:highlight w:val="none"/>
                    </w:rPr>
                  </w:pPr>
                  <w:r>
                    <w:rPr>
                      <w:color w:val="auto"/>
                      <w:kern w:val="0"/>
                      <w:highlight w:val="none"/>
                    </w:rPr>
                    <w:t>项目Q值</w:t>
                  </w:r>
                </w:p>
              </w:tc>
              <w:tc>
                <w:tcPr>
                  <w:tcW w:w="1250" w:type="pct"/>
                  <w:vAlign w:val="center"/>
                </w:tcPr>
                <w:p>
                  <w:pPr>
                    <w:pStyle w:val="35"/>
                    <w:spacing w:line="240" w:lineRule="exact"/>
                    <w:rPr>
                      <w:color w:val="auto"/>
                      <w:kern w:val="0"/>
                      <w:highlight w:val="none"/>
                    </w:rPr>
                  </w:pPr>
                  <w:r>
                    <w:rPr>
                      <w:rFonts w:hint="eastAsia"/>
                      <w:color w:val="auto"/>
                      <w:kern w:val="0"/>
                      <w:highlight w:val="none"/>
                    </w:rPr>
                    <w:t>0.00016</w:t>
                  </w:r>
                </w:p>
              </w:tc>
            </w:tr>
          </w:tbl>
          <w:p>
            <w:pPr>
              <w:pStyle w:val="32"/>
              <w:spacing w:line="240" w:lineRule="auto"/>
              <w:ind w:firstLine="360"/>
              <w:rPr>
                <w:color w:val="auto"/>
                <w:sz w:val="18"/>
                <w:szCs w:val="18"/>
                <w:highlight w:val="none"/>
              </w:rPr>
            </w:pPr>
            <w:r>
              <w:rPr>
                <w:rFonts w:hint="eastAsia"/>
                <w:color w:val="auto"/>
                <w:sz w:val="18"/>
                <w:szCs w:val="18"/>
                <w:highlight w:val="none"/>
              </w:rPr>
              <w:t>*临界量参照《建设项目环境风险评价技术导则》（HJ169-2018）附录B中表B.2中推荐临界值。</w:t>
            </w:r>
          </w:p>
          <w:p>
            <w:pPr>
              <w:pStyle w:val="32"/>
              <w:ind w:firstLine="480"/>
              <w:rPr>
                <w:color w:val="auto"/>
                <w:highlight w:val="none"/>
              </w:rPr>
            </w:pPr>
            <w:r>
              <w:rPr>
                <w:color w:val="auto"/>
                <w:highlight w:val="none"/>
              </w:rPr>
              <w:t>根据附录B中危险物质的临界量，可</w:t>
            </w:r>
            <w:r>
              <w:rPr>
                <w:rFonts w:hint="eastAsia"/>
                <w:color w:val="auto"/>
                <w:highlight w:val="none"/>
              </w:rPr>
              <w:t>计算</w:t>
            </w:r>
            <w:r>
              <w:rPr>
                <w:color w:val="auto"/>
                <w:highlight w:val="none"/>
              </w:rPr>
              <w:t>得出本工程危险物质数量与临界量的比值（Q），本工程Q值为</w:t>
            </w:r>
            <w:r>
              <w:rPr>
                <w:rFonts w:hint="eastAsia"/>
                <w:color w:val="auto"/>
                <w:kern w:val="0"/>
                <w:highlight w:val="none"/>
              </w:rPr>
              <w:t>0.00016</w:t>
            </w:r>
            <w:r>
              <w:rPr>
                <w:color w:val="auto"/>
                <w:highlight w:val="none"/>
              </w:rPr>
              <w:t>，项目环境风险潜势为Ⅰ。</w:t>
            </w:r>
          </w:p>
          <w:p>
            <w:pPr>
              <w:pStyle w:val="32"/>
              <w:ind w:firstLine="480"/>
              <w:rPr>
                <w:color w:val="auto"/>
                <w:highlight w:val="none"/>
              </w:rPr>
            </w:pPr>
            <w:r>
              <w:rPr>
                <w:rFonts w:hint="eastAsia"/>
                <w:color w:val="auto"/>
                <w:highlight w:val="none"/>
              </w:rPr>
              <w:t>3.环境风险分析</w:t>
            </w:r>
          </w:p>
          <w:p>
            <w:pPr>
              <w:pStyle w:val="32"/>
              <w:ind w:firstLine="480"/>
              <w:rPr>
                <w:color w:val="auto"/>
                <w:highlight w:val="none"/>
              </w:rPr>
            </w:pPr>
            <w:r>
              <w:rPr>
                <w:rFonts w:hint="eastAsia"/>
                <w:color w:val="auto"/>
                <w:highlight w:val="none"/>
              </w:rPr>
              <w:t>拟建项目收集的少量废机油经采用带盖密封桶进行集中收集后放置在铁制托盘上再暂存在危废暂存间，定期交由有资质的单位处理，废机油如果发生泄漏将可能会对地下水造成污染影响</w:t>
            </w:r>
            <w:r>
              <w:rPr>
                <w:color w:val="auto"/>
                <w:highlight w:val="none"/>
              </w:rPr>
              <w:t>。</w:t>
            </w:r>
          </w:p>
          <w:p>
            <w:pPr>
              <w:pStyle w:val="32"/>
              <w:ind w:firstLine="480"/>
              <w:rPr>
                <w:color w:val="auto"/>
                <w:highlight w:val="none"/>
              </w:rPr>
            </w:pPr>
            <w:r>
              <w:rPr>
                <w:rFonts w:hint="eastAsia"/>
                <w:color w:val="auto"/>
                <w:highlight w:val="none"/>
              </w:rPr>
              <w:t>4.环境风险防范措施</w:t>
            </w:r>
          </w:p>
          <w:p>
            <w:pPr>
              <w:spacing w:line="360" w:lineRule="auto"/>
              <w:ind w:firstLine="480" w:firstLineChars="200"/>
              <w:jc w:val="left"/>
              <w:rPr>
                <w:color w:val="auto"/>
                <w:sz w:val="24"/>
                <w:highlight w:val="none"/>
              </w:rPr>
            </w:pPr>
            <w:r>
              <w:rPr>
                <w:rFonts w:hint="eastAsia"/>
                <w:color w:val="auto"/>
                <w:sz w:val="24"/>
                <w:highlight w:val="none"/>
              </w:rPr>
              <w:t>（1）废机油贮存事故风险防范措施</w:t>
            </w:r>
          </w:p>
          <w:p>
            <w:pPr>
              <w:pStyle w:val="32"/>
              <w:ind w:firstLine="480"/>
              <w:rPr>
                <w:color w:val="auto"/>
                <w:highlight w:val="none"/>
              </w:rPr>
            </w:pPr>
            <w:r>
              <w:rPr>
                <w:rFonts w:hint="eastAsia"/>
                <w:color w:val="auto"/>
                <w:highlight w:val="none"/>
              </w:rPr>
              <w:t>危废暂存间需满足《危险废物贮存污染控制标准》（GB18597-2023）中的要求，基础必须防渗，防渗层为至少1m厚黏土层（渗透系数≤10</w:t>
            </w:r>
            <w:r>
              <w:rPr>
                <w:rFonts w:hint="eastAsia"/>
                <w:color w:val="auto"/>
                <w:highlight w:val="none"/>
                <w:vertAlign w:val="superscript"/>
              </w:rPr>
              <w:t>-7</w:t>
            </w:r>
            <w:r>
              <w:rPr>
                <w:rFonts w:hint="eastAsia"/>
                <w:color w:val="auto"/>
                <w:highlight w:val="none"/>
              </w:rPr>
              <w:t>cm/s），或2mm厚高密度聚乙烯，或至少2mm厚的其他人工材料，渗透系数≤10</w:t>
            </w:r>
            <w:r>
              <w:rPr>
                <w:rFonts w:hint="eastAsia"/>
                <w:color w:val="auto"/>
                <w:highlight w:val="none"/>
                <w:vertAlign w:val="superscript"/>
              </w:rPr>
              <w:t>-10</w:t>
            </w:r>
            <w:r>
              <w:rPr>
                <w:rFonts w:hint="eastAsia"/>
                <w:color w:val="auto"/>
                <w:highlight w:val="none"/>
              </w:rPr>
              <w:t>cm/s，储存危险废物的容器要符合国家相关要求，危险废物定期交由有资质的单位处理，危废暂存间粘贴危险废物暂存的标志</w:t>
            </w:r>
            <w:r>
              <w:rPr>
                <w:color w:val="auto"/>
                <w:highlight w:val="none"/>
              </w:rPr>
              <w:t>。</w:t>
            </w:r>
          </w:p>
          <w:p>
            <w:pPr>
              <w:spacing w:line="360" w:lineRule="auto"/>
              <w:ind w:firstLine="480" w:firstLineChars="200"/>
              <w:jc w:val="left"/>
              <w:rPr>
                <w:color w:val="auto"/>
                <w:sz w:val="24"/>
                <w:highlight w:val="none"/>
              </w:rPr>
            </w:pPr>
            <w:r>
              <w:rPr>
                <w:rFonts w:hint="eastAsia"/>
                <w:color w:val="auto"/>
                <w:sz w:val="24"/>
                <w:highlight w:val="none"/>
              </w:rPr>
              <w:t>（2）火灾事故风险防范措施</w:t>
            </w:r>
          </w:p>
          <w:p>
            <w:pPr>
              <w:spacing w:line="360" w:lineRule="auto"/>
              <w:ind w:firstLine="480" w:firstLineChars="200"/>
              <w:jc w:val="left"/>
              <w:rPr>
                <w:color w:val="auto"/>
                <w:sz w:val="24"/>
                <w:highlight w:val="none"/>
              </w:rPr>
            </w:pPr>
            <w:r>
              <w:rPr>
                <w:rFonts w:hint="eastAsia"/>
                <w:color w:val="auto"/>
                <w:sz w:val="24"/>
                <w:highlight w:val="none"/>
              </w:rPr>
              <w:t>①项目车间应设置禁火、防爆区域，并制定相应的管理制度。操作和维修等采用不发火工具，并制定方案，报主管领导批准并有监管人员在场方可进行。</w:t>
            </w:r>
          </w:p>
          <w:p>
            <w:pPr>
              <w:spacing w:line="360" w:lineRule="auto"/>
              <w:ind w:firstLine="480" w:firstLineChars="200"/>
              <w:jc w:val="left"/>
              <w:rPr>
                <w:color w:val="auto"/>
                <w:sz w:val="24"/>
                <w:highlight w:val="none"/>
              </w:rPr>
            </w:pPr>
            <w:r>
              <w:rPr>
                <w:rFonts w:hint="eastAsia"/>
                <w:color w:val="auto"/>
                <w:sz w:val="24"/>
                <w:highlight w:val="none"/>
              </w:rPr>
              <w:t>②加强用电管理，定期对设备进行安全检测，检测内容、时间、人员应有记录保存，对使用时间长的电器设备，要及时更换或维修。加强对建筑电气的漏电保护，在建筑物电源进线处设计安装带漏电保护功能的熔断器。</w:t>
            </w:r>
          </w:p>
          <w:p>
            <w:pPr>
              <w:spacing w:line="360" w:lineRule="auto"/>
              <w:ind w:firstLine="480" w:firstLineChars="200"/>
              <w:jc w:val="left"/>
              <w:rPr>
                <w:color w:val="auto"/>
                <w:sz w:val="24"/>
                <w:highlight w:val="none"/>
              </w:rPr>
            </w:pPr>
            <w:r>
              <w:rPr>
                <w:rFonts w:hint="eastAsia"/>
                <w:color w:val="auto"/>
                <w:sz w:val="24"/>
                <w:highlight w:val="none"/>
              </w:rPr>
              <w:t>③加强工作人员的安全教育，加大管理力度，及时清洁、检修设备；定期对电气线路进行检测，发现隐患及时消除。</w:t>
            </w:r>
          </w:p>
          <w:p>
            <w:pPr>
              <w:spacing w:line="360" w:lineRule="auto"/>
              <w:ind w:firstLine="480" w:firstLineChars="200"/>
              <w:jc w:val="left"/>
              <w:rPr>
                <w:color w:val="auto"/>
                <w:sz w:val="24"/>
                <w:highlight w:val="none"/>
              </w:rPr>
            </w:pPr>
            <w:r>
              <w:rPr>
                <w:rFonts w:hint="eastAsia"/>
                <w:color w:val="auto"/>
                <w:sz w:val="24"/>
                <w:highlight w:val="none"/>
              </w:rPr>
              <w:t>④严格按照防火、防爆设计规范要求进行设计，按照规范设置消防系统，配置相应的灭火装置和设施，并定期维护，保持完好。在禁火、防爆区域定期检查确保设施正常运转，做到及时发现、及时处理。</w:t>
            </w:r>
          </w:p>
          <w:p>
            <w:pPr>
              <w:spacing w:line="360" w:lineRule="auto"/>
              <w:ind w:firstLine="480" w:firstLineChars="200"/>
              <w:jc w:val="left"/>
              <w:rPr>
                <w:color w:val="auto"/>
                <w:sz w:val="24"/>
                <w:highlight w:val="none"/>
              </w:rPr>
            </w:pPr>
            <w:r>
              <w:rPr>
                <w:rFonts w:hint="eastAsia"/>
                <w:color w:val="auto"/>
                <w:sz w:val="24"/>
                <w:highlight w:val="none"/>
              </w:rPr>
              <w:t>根据消防设计，项目不设置消防水池，不会产生消防废水，故本项目不设置事故应急池。</w:t>
            </w:r>
          </w:p>
          <w:p>
            <w:pPr>
              <w:pStyle w:val="32"/>
              <w:ind w:firstLine="480"/>
              <w:rPr>
                <w:color w:val="auto"/>
                <w:highlight w:val="none"/>
              </w:rPr>
            </w:pPr>
            <w:r>
              <w:rPr>
                <w:rFonts w:hint="eastAsia"/>
                <w:color w:val="auto"/>
                <w:highlight w:val="none"/>
              </w:rPr>
              <w:t>B.</w:t>
            </w:r>
            <w:r>
              <w:rPr>
                <w:color w:val="auto"/>
                <w:highlight w:val="none"/>
              </w:rPr>
              <w:t>风险防范措施</w:t>
            </w:r>
          </w:p>
          <w:p>
            <w:pPr>
              <w:pStyle w:val="32"/>
              <w:ind w:firstLine="480"/>
              <w:rPr>
                <w:color w:val="auto"/>
                <w:highlight w:val="none"/>
              </w:rPr>
            </w:pPr>
            <w:r>
              <w:rPr>
                <w:color w:val="auto"/>
                <w:highlight w:val="none"/>
              </w:rPr>
              <w:t>厂区</w:t>
            </w:r>
            <w:r>
              <w:rPr>
                <w:rFonts w:hint="eastAsia"/>
                <w:color w:val="auto"/>
                <w:highlight w:val="none"/>
              </w:rPr>
              <w:t>拟设置</w:t>
            </w:r>
            <w:r>
              <w:rPr>
                <w:rFonts w:hint="eastAsia"/>
                <w:color w:val="auto"/>
                <w:highlight w:val="none"/>
                <w:lang w:val="en-US" w:eastAsia="zh-CN"/>
              </w:rPr>
              <w:t>525</w:t>
            </w:r>
            <w:r>
              <w:rPr>
                <w:color w:val="auto"/>
                <w:highlight w:val="none"/>
              </w:rPr>
              <w:t>m</w:t>
            </w:r>
            <w:r>
              <w:rPr>
                <w:color w:val="auto"/>
                <w:highlight w:val="none"/>
                <w:vertAlign w:val="superscript"/>
              </w:rPr>
              <w:t>3</w:t>
            </w:r>
            <w:r>
              <w:rPr>
                <w:color w:val="auto"/>
                <w:highlight w:val="none"/>
              </w:rPr>
              <w:t>初期雨水池，可满足初期污水收集需要。一旦发生事故，应立即关闭雨水管道阀门，切断雨水排口，确保雨水</w:t>
            </w:r>
            <w:r>
              <w:rPr>
                <w:rFonts w:hint="eastAsia"/>
                <w:color w:val="auto"/>
                <w:highlight w:val="none"/>
              </w:rPr>
              <w:t>安全</w:t>
            </w:r>
            <w:r>
              <w:rPr>
                <w:color w:val="auto"/>
                <w:highlight w:val="none"/>
              </w:rPr>
              <w:t>集中，待事故结束后再处理。</w:t>
            </w:r>
          </w:p>
          <w:p>
            <w:pPr>
              <w:spacing w:line="360" w:lineRule="auto"/>
              <w:ind w:firstLine="480" w:firstLineChars="200"/>
              <w:rPr>
                <w:color w:val="auto"/>
                <w:sz w:val="24"/>
                <w:highlight w:val="none"/>
              </w:rPr>
            </w:pPr>
            <w:r>
              <w:rPr>
                <w:rFonts w:hint="eastAsia"/>
                <w:color w:val="auto"/>
                <w:sz w:val="24"/>
                <w:highlight w:val="none"/>
              </w:rPr>
              <w:t>（3）其他</w:t>
            </w:r>
          </w:p>
          <w:p>
            <w:pPr>
              <w:spacing w:line="360" w:lineRule="auto"/>
              <w:ind w:firstLine="480" w:firstLineChars="200"/>
              <w:rPr>
                <w:color w:val="auto"/>
                <w:sz w:val="24"/>
                <w:highlight w:val="none"/>
              </w:rPr>
            </w:pPr>
            <w:r>
              <w:rPr>
                <w:rFonts w:hint="eastAsia"/>
                <w:color w:val="auto"/>
                <w:sz w:val="24"/>
                <w:highlight w:val="none"/>
              </w:rPr>
              <w:t xml:space="preserve">①制定突发环境事件应急预案，认真贯彻、层层落实预案中提出的应急措施，定期开展环境风险事故应急处理演练。 </w:t>
            </w:r>
          </w:p>
          <w:p>
            <w:pPr>
              <w:pStyle w:val="32"/>
              <w:ind w:firstLine="480"/>
              <w:rPr>
                <w:color w:val="auto"/>
                <w:highlight w:val="none"/>
              </w:rPr>
            </w:pPr>
            <w:r>
              <w:rPr>
                <w:rFonts w:hint="eastAsia"/>
                <w:color w:val="auto"/>
                <w:highlight w:val="none"/>
              </w:rPr>
              <w:t>②雨水排放口设置应急阀门</w:t>
            </w:r>
            <w:r>
              <w:rPr>
                <w:color w:val="auto"/>
                <w:highlight w:val="none"/>
              </w:rPr>
              <w:t>。</w:t>
            </w:r>
          </w:p>
          <w:p>
            <w:pPr>
              <w:pStyle w:val="29"/>
              <w:rPr>
                <w:color w:val="auto"/>
                <w:highlight w:val="none"/>
              </w:rPr>
            </w:pPr>
            <w:r>
              <w:rPr>
                <w:rFonts w:hint="eastAsia"/>
                <w:color w:val="auto"/>
                <w:highlight w:val="none"/>
              </w:rPr>
              <w:t>4.2.8退役期环境影响分析</w:t>
            </w:r>
          </w:p>
          <w:p>
            <w:pPr>
              <w:pStyle w:val="32"/>
              <w:ind w:firstLine="480"/>
              <w:rPr>
                <w:color w:val="auto"/>
                <w:highlight w:val="none"/>
              </w:rPr>
            </w:pPr>
            <w:r>
              <w:rPr>
                <w:rFonts w:hint="eastAsia"/>
                <w:color w:val="auto"/>
                <w:highlight w:val="none"/>
              </w:rPr>
              <w:t>（</w:t>
            </w:r>
            <w:r>
              <w:rPr>
                <w:color w:val="auto"/>
                <w:highlight w:val="none"/>
              </w:rPr>
              <w:t>1</w:t>
            </w:r>
            <w:r>
              <w:rPr>
                <w:rFonts w:hint="eastAsia"/>
                <w:color w:val="auto"/>
                <w:highlight w:val="none"/>
              </w:rPr>
              <w:t xml:space="preserve">）设备处置 </w:t>
            </w:r>
          </w:p>
          <w:p>
            <w:pPr>
              <w:pStyle w:val="32"/>
              <w:ind w:firstLine="480"/>
              <w:rPr>
                <w:color w:val="auto"/>
                <w:highlight w:val="none"/>
              </w:rPr>
            </w:pPr>
            <w:r>
              <w:rPr>
                <w:rFonts w:hint="eastAsia"/>
                <w:color w:val="auto"/>
                <w:highlight w:val="none"/>
              </w:rPr>
              <w:t xml:space="preserve">项目退役后，其设备处置应遵循以下两方面原则： </w:t>
            </w:r>
          </w:p>
          <w:p>
            <w:pPr>
              <w:pStyle w:val="32"/>
              <w:ind w:firstLine="480"/>
              <w:rPr>
                <w:color w:val="auto"/>
                <w:highlight w:val="none"/>
              </w:rPr>
            </w:pPr>
            <w:r>
              <w:rPr>
                <w:rFonts w:hint="eastAsia"/>
                <w:color w:val="auto"/>
                <w:highlight w:val="none"/>
              </w:rPr>
              <w:t xml:space="preserve">①在退役时，尚不属于行业淘汰范围的，且尚符合当时国家产业政策和地方政策的设备，可出售给相应企业。 </w:t>
            </w:r>
          </w:p>
          <w:p>
            <w:pPr>
              <w:pStyle w:val="32"/>
              <w:ind w:firstLine="480"/>
              <w:rPr>
                <w:color w:val="auto"/>
                <w:highlight w:val="none"/>
              </w:rPr>
            </w:pPr>
            <w:r>
              <w:rPr>
                <w:rFonts w:hint="eastAsia"/>
                <w:color w:val="auto"/>
                <w:highlight w:val="none"/>
              </w:rPr>
              <w:t xml:space="preserve">②在退役时，属于行业淘汰范围、不符合当时国家产业政策和地方政策中的一种，即应予以报废，设备可按废品出售给回收单位。 </w:t>
            </w:r>
          </w:p>
          <w:p>
            <w:pPr>
              <w:pStyle w:val="32"/>
              <w:ind w:firstLine="480"/>
              <w:rPr>
                <w:color w:val="auto"/>
                <w:highlight w:val="none"/>
              </w:rPr>
            </w:pPr>
            <w:r>
              <w:rPr>
                <w:rFonts w:hint="eastAsia"/>
                <w:color w:val="auto"/>
                <w:highlight w:val="none"/>
              </w:rPr>
              <w:t xml:space="preserve">本项目所使用的设备在退役后应按照上述办法进行妥善处置，不会遗留潜在 的环境影响问题，不会造成新的环境污染危害。 </w:t>
            </w:r>
          </w:p>
          <w:p>
            <w:pPr>
              <w:pStyle w:val="32"/>
              <w:ind w:firstLine="480"/>
              <w:rPr>
                <w:color w:val="auto"/>
                <w:highlight w:val="none"/>
              </w:rPr>
            </w:pPr>
            <w:r>
              <w:rPr>
                <w:rFonts w:hint="eastAsia"/>
                <w:color w:val="auto"/>
                <w:highlight w:val="none"/>
              </w:rPr>
              <w:t>（</w:t>
            </w:r>
            <w:r>
              <w:rPr>
                <w:color w:val="auto"/>
                <w:highlight w:val="none"/>
              </w:rPr>
              <w:t>2</w:t>
            </w:r>
            <w:r>
              <w:rPr>
                <w:rFonts w:hint="eastAsia"/>
                <w:color w:val="auto"/>
                <w:highlight w:val="none"/>
              </w:rPr>
              <w:t xml:space="preserve">）物质处置 </w:t>
            </w:r>
          </w:p>
          <w:p>
            <w:pPr>
              <w:pStyle w:val="32"/>
              <w:ind w:firstLine="480"/>
              <w:rPr>
                <w:color w:val="auto"/>
                <w:highlight w:val="none"/>
              </w:rPr>
            </w:pPr>
            <w:r>
              <w:rPr>
                <w:rFonts w:hint="eastAsia"/>
                <w:color w:val="auto"/>
                <w:highlight w:val="none"/>
              </w:rPr>
              <w:t xml:space="preserve">项目退役后耗材等可外售给其他企业。 </w:t>
            </w:r>
          </w:p>
          <w:p>
            <w:pPr>
              <w:pStyle w:val="32"/>
              <w:ind w:firstLine="480"/>
              <w:rPr>
                <w:color w:val="auto"/>
                <w:highlight w:val="none"/>
              </w:rPr>
            </w:pPr>
            <w:r>
              <w:rPr>
                <w:rFonts w:hint="eastAsia"/>
                <w:color w:val="auto"/>
                <w:highlight w:val="none"/>
              </w:rPr>
              <w:t>（</w:t>
            </w:r>
            <w:r>
              <w:rPr>
                <w:color w:val="auto"/>
                <w:highlight w:val="none"/>
              </w:rPr>
              <w:t>3</w:t>
            </w:r>
            <w:r>
              <w:rPr>
                <w:rFonts w:hint="eastAsia"/>
                <w:color w:val="auto"/>
                <w:highlight w:val="none"/>
              </w:rPr>
              <w:t xml:space="preserve">）生态修复 </w:t>
            </w:r>
          </w:p>
          <w:p>
            <w:pPr>
              <w:pStyle w:val="32"/>
              <w:ind w:firstLine="480"/>
              <w:rPr>
                <w:color w:val="auto"/>
                <w:highlight w:val="none"/>
              </w:rPr>
            </w:pPr>
            <w:r>
              <w:rPr>
                <w:rFonts w:hint="eastAsia"/>
                <w:color w:val="auto"/>
                <w:highlight w:val="none"/>
              </w:rPr>
              <w:t>项目厂房为工业厂房，退役后可作为厂房继续使用。</w:t>
            </w:r>
          </w:p>
          <w:p>
            <w:pPr>
              <w:pStyle w:val="29"/>
              <w:rPr>
                <w:color w:val="auto"/>
                <w:highlight w:val="none"/>
              </w:rPr>
            </w:pPr>
            <w:r>
              <w:rPr>
                <w:rFonts w:hint="eastAsia"/>
                <w:color w:val="auto"/>
                <w:highlight w:val="none"/>
              </w:rPr>
              <w:t>4.2.9环保措施及投资</w:t>
            </w:r>
          </w:p>
          <w:p>
            <w:pPr>
              <w:pStyle w:val="32"/>
              <w:ind w:firstLine="480"/>
              <w:rPr>
                <w:color w:val="auto"/>
                <w:highlight w:val="none"/>
              </w:rPr>
            </w:pPr>
            <w:r>
              <w:rPr>
                <w:rFonts w:hint="eastAsia"/>
                <w:color w:val="auto"/>
                <w:highlight w:val="none"/>
              </w:rPr>
              <w:t>拟建项目环保措施及投资情况见下表。</w:t>
            </w: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p>
          <w:p>
            <w:pPr>
              <w:pStyle w:val="33"/>
              <w:rPr>
                <w:color w:val="auto"/>
                <w:highlight w:val="none"/>
              </w:rPr>
            </w:pPr>
            <w:r>
              <w:rPr>
                <w:color w:val="auto"/>
                <w:highlight w:val="none"/>
              </w:rPr>
              <w:t>表</w:t>
            </w:r>
            <w:r>
              <w:rPr>
                <w:rFonts w:hint="eastAsia"/>
                <w:color w:val="auto"/>
                <w:highlight w:val="none"/>
              </w:rPr>
              <w:t>4.2.</w:t>
            </w:r>
            <w:r>
              <w:rPr>
                <w:rFonts w:hint="eastAsia"/>
                <w:color w:val="auto"/>
                <w:highlight w:val="none"/>
                <w:lang w:val="en-US" w:eastAsia="zh-CN"/>
              </w:rPr>
              <w:t>31</w:t>
            </w:r>
            <w:r>
              <w:rPr>
                <w:color w:val="auto"/>
                <w:highlight w:val="none"/>
              </w:rPr>
              <w:t xml:space="preserve">  </w:t>
            </w:r>
            <w:r>
              <w:rPr>
                <w:rFonts w:hint="eastAsia"/>
                <w:color w:val="auto"/>
                <w:highlight w:val="none"/>
              </w:rPr>
              <w:t>拟建项目环保措施及投资一览表</w:t>
            </w:r>
          </w:p>
          <w:tbl>
            <w:tblPr>
              <w:tblStyle w:val="2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421"/>
              <w:gridCol w:w="4408"/>
              <w:gridCol w:w="931"/>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384" w:type="pct"/>
                  <w:vAlign w:val="center"/>
                </w:tcPr>
                <w:p>
                  <w:pPr>
                    <w:pStyle w:val="35"/>
                    <w:spacing w:line="240" w:lineRule="exact"/>
                    <w:rPr>
                      <w:color w:val="auto"/>
                      <w:kern w:val="0"/>
                      <w:highlight w:val="none"/>
                    </w:rPr>
                  </w:pPr>
                  <w:r>
                    <w:rPr>
                      <w:rFonts w:hint="eastAsia"/>
                      <w:color w:val="auto"/>
                      <w:kern w:val="0"/>
                      <w:highlight w:val="none"/>
                    </w:rPr>
                    <w:t>污染类别</w:t>
                  </w:r>
                </w:p>
              </w:tc>
              <w:tc>
                <w:tcPr>
                  <w:tcW w:w="1305" w:type="pct"/>
                  <w:vAlign w:val="center"/>
                </w:tcPr>
                <w:p>
                  <w:pPr>
                    <w:pStyle w:val="35"/>
                    <w:spacing w:line="240" w:lineRule="exact"/>
                    <w:rPr>
                      <w:color w:val="auto"/>
                      <w:kern w:val="0"/>
                      <w:highlight w:val="none"/>
                    </w:rPr>
                  </w:pPr>
                  <w:r>
                    <w:rPr>
                      <w:rFonts w:hint="eastAsia"/>
                      <w:color w:val="auto"/>
                      <w:kern w:val="0"/>
                      <w:highlight w:val="none"/>
                    </w:rPr>
                    <w:t>产污环节</w:t>
                  </w:r>
                </w:p>
              </w:tc>
              <w:tc>
                <w:tcPr>
                  <w:tcW w:w="2376" w:type="pct"/>
                  <w:vAlign w:val="center"/>
                </w:tcPr>
                <w:p>
                  <w:pPr>
                    <w:pStyle w:val="35"/>
                    <w:spacing w:line="240" w:lineRule="exact"/>
                    <w:rPr>
                      <w:color w:val="auto"/>
                      <w:kern w:val="0"/>
                      <w:highlight w:val="none"/>
                    </w:rPr>
                  </w:pPr>
                  <w:r>
                    <w:rPr>
                      <w:rFonts w:hint="eastAsia"/>
                      <w:color w:val="auto"/>
                      <w:kern w:val="0"/>
                      <w:highlight w:val="none"/>
                    </w:rPr>
                    <w:t>采取措施</w:t>
                  </w:r>
                </w:p>
              </w:tc>
              <w:tc>
                <w:tcPr>
                  <w:tcW w:w="501" w:type="pct"/>
                  <w:vAlign w:val="center"/>
                </w:tcPr>
                <w:p>
                  <w:pPr>
                    <w:pStyle w:val="35"/>
                    <w:spacing w:line="240" w:lineRule="exact"/>
                    <w:rPr>
                      <w:color w:val="auto"/>
                      <w:kern w:val="0"/>
                      <w:highlight w:val="none"/>
                    </w:rPr>
                  </w:pPr>
                  <w:r>
                    <w:rPr>
                      <w:rFonts w:hint="eastAsia"/>
                      <w:color w:val="auto"/>
                      <w:kern w:val="0"/>
                      <w:highlight w:val="none"/>
                    </w:rPr>
                    <w:t>数量/套</w:t>
                  </w:r>
                </w:p>
              </w:tc>
              <w:tc>
                <w:tcPr>
                  <w:tcW w:w="432" w:type="pct"/>
                  <w:vAlign w:val="center"/>
                </w:tcPr>
                <w:p>
                  <w:pPr>
                    <w:pStyle w:val="35"/>
                    <w:spacing w:line="240" w:lineRule="exact"/>
                    <w:rPr>
                      <w:color w:val="auto"/>
                      <w:kern w:val="0"/>
                      <w:highlight w:val="none"/>
                    </w:rPr>
                  </w:pPr>
                  <w:r>
                    <w:rPr>
                      <w:rFonts w:hint="eastAsia"/>
                      <w:color w:val="auto"/>
                      <w:kern w:val="0"/>
                      <w:highlight w:val="none"/>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35"/>
                    <w:spacing w:line="240" w:lineRule="exact"/>
                    <w:rPr>
                      <w:color w:val="auto"/>
                      <w:kern w:val="0"/>
                      <w:highlight w:val="none"/>
                    </w:rPr>
                  </w:pPr>
                  <w:r>
                    <w:rPr>
                      <w:rFonts w:hint="eastAsia"/>
                      <w:color w:val="auto"/>
                      <w:kern w:val="0"/>
                      <w:highlight w:val="none"/>
                    </w:rPr>
                    <w:t>大气污染</w:t>
                  </w:r>
                </w:p>
              </w:tc>
              <w:tc>
                <w:tcPr>
                  <w:tcW w:w="1305" w:type="pct"/>
                  <w:vAlign w:val="center"/>
                </w:tcPr>
                <w:p>
                  <w:pPr>
                    <w:adjustRightInd w:val="0"/>
                    <w:snapToGrid w:val="0"/>
                    <w:jc w:val="center"/>
                    <w:rPr>
                      <w:rFonts w:hint="default" w:eastAsia="宋体"/>
                      <w:color w:val="auto"/>
                      <w:kern w:val="0"/>
                      <w:szCs w:val="21"/>
                      <w:highlight w:val="none"/>
                      <w:lang w:val="en-US" w:eastAsia="zh-CN"/>
                    </w:rPr>
                  </w:pPr>
                  <w:r>
                    <w:rPr>
                      <w:rFonts w:hint="eastAsia"/>
                      <w:color w:val="auto"/>
                      <w:szCs w:val="21"/>
                      <w:highlight w:val="none"/>
                      <w:lang w:val="en-US" w:eastAsia="zh-CN"/>
                    </w:rPr>
                    <w:t>M-9#转运站</w:t>
                  </w:r>
                </w:p>
              </w:tc>
              <w:tc>
                <w:tcPr>
                  <w:tcW w:w="2376" w:type="pct"/>
                  <w:vAlign w:val="center"/>
                </w:tcPr>
                <w:p>
                  <w:pPr>
                    <w:adjustRightInd w:val="0"/>
                    <w:snapToGrid w:val="0"/>
                    <w:jc w:val="center"/>
                    <w:rPr>
                      <w:color w:val="auto"/>
                      <w:kern w:val="0"/>
                      <w:szCs w:val="21"/>
                      <w:highlight w:val="none"/>
                    </w:rPr>
                  </w:pP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DA001</w:t>
                  </w:r>
                  <w:r>
                    <w:rPr>
                      <w:rFonts w:hint="eastAsia"/>
                      <w:color w:val="auto"/>
                      <w:kern w:val="0"/>
                      <w:szCs w:val="21"/>
                      <w:highlight w:val="none"/>
                      <w:lang w:eastAsia="zh-CN" w:bidi="ar"/>
                    </w:rPr>
                    <w:t>）</w:t>
                  </w:r>
                  <w:r>
                    <w:rPr>
                      <w:color w:val="auto"/>
                      <w:kern w:val="0"/>
                      <w:szCs w:val="21"/>
                      <w:highlight w:val="none"/>
                      <w:lang w:bidi="ar"/>
                    </w:rPr>
                    <w:t>排放</w:t>
                  </w:r>
                </w:p>
              </w:tc>
              <w:tc>
                <w:tcPr>
                  <w:tcW w:w="501" w:type="pct"/>
                  <w:vAlign w:val="center"/>
                </w:tcPr>
                <w:p>
                  <w:pPr>
                    <w:pStyle w:val="35"/>
                    <w:spacing w:line="240" w:lineRule="exact"/>
                    <w:rPr>
                      <w:rFonts w:hint="eastAsia" w:eastAsia="宋体"/>
                      <w:color w:val="auto"/>
                      <w:kern w:val="0"/>
                      <w:highlight w:val="none"/>
                      <w:lang w:eastAsia="zh-CN"/>
                    </w:rPr>
                  </w:pPr>
                  <w:r>
                    <w:rPr>
                      <w:rFonts w:hint="eastAsia"/>
                      <w:color w:val="auto"/>
                      <w:kern w:val="0"/>
                      <w:highlight w:val="none"/>
                      <w:lang w:val="en-US" w:eastAsia="zh-CN"/>
                    </w:rPr>
                    <w:t>1</w:t>
                  </w:r>
                </w:p>
              </w:tc>
              <w:tc>
                <w:tcPr>
                  <w:tcW w:w="432" w:type="pct"/>
                  <w:vAlign w:val="center"/>
                </w:tcPr>
                <w:p>
                  <w:pPr>
                    <w:widowControl/>
                    <w:jc w:val="center"/>
                    <w:textAlignment w:val="center"/>
                    <w:rPr>
                      <w:color w:val="auto"/>
                      <w:kern w:val="0"/>
                      <w:szCs w:val="21"/>
                      <w:highlight w:val="none"/>
                    </w:rPr>
                  </w:pPr>
                  <w:r>
                    <w:rPr>
                      <w:rFonts w:hint="eastAsia"/>
                      <w:color w:val="auto"/>
                      <w:kern w:val="0"/>
                      <w:szCs w:val="21"/>
                      <w:highlight w:val="none"/>
                      <w:lang w:val="en-US" w:eastAsia="zh-CN" w:bidi="ar"/>
                    </w:rPr>
                    <w:t>2</w:t>
                  </w:r>
                  <w:r>
                    <w:rPr>
                      <w:color w:val="auto"/>
                      <w:kern w:val="0"/>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rFonts w:hint="eastAsia"/>
                      <w:color w:val="auto"/>
                      <w:kern w:val="0"/>
                      <w:highlight w:val="none"/>
                    </w:rPr>
                  </w:pPr>
                </w:p>
              </w:tc>
              <w:tc>
                <w:tcPr>
                  <w:tcW w:w="1305" w:type="pct"/>
                  <w:vAlign w:val="center"/>
                </w:tcPr>
                <w:p>
                  <w:pPr>
                    <w:adjustRightInd w:val="0"/>
                    <w:snapToGrid w:val="0"/>
                    <w:jc w:val="center"/>
                    <w:rPr>
                      <w:rFonts w:hint="eastAsia"/>
                      <w:color w:val="auto"/>
                      <w:szCs w:val="21"/>
                      <w:highlight w:val="none"/>
                      <w:lang w:val="en-US" w:eastAsia="zh-CN"/>
                    </w:rPr>
                  </w:pPr>
                  <w:r>
                    <w:rPr>
                      <w:rFonts w:hint="eastAsia"/>
                      <w:color w:val="auto"/>
                      <w:szCs w:val="21"/>
                      <w:highlight w:val="none"/>
                      <w:lang w:val="en-US" w:eastAsia="zh-CN"/>
                    </w:rPr>
                    <w:t>卸矿站原料和成品转运过程粉尘</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负压集气</w:t>
                  </w: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DA002</w:t>
                  </w:r>
                  <w:r>
                    <w:rPr>
                      <w:rFonts w:hint="eastAsia"/>
                      <w:color w:val="auto"/>
                      <w:kern w:val="0"/>
                      <w:szCs w:val="21"/>
                      <w:highlight w:val="none"/>
                      <w:lang w:eastAsia="zh-CN" w:bidi="ar"/>
                    </w:rPr>
                    <w:t>）</w:t>
                  </w:r>
                  <w:r>
                    <w:rPr>
                      <w:color w:val="auto"/>
                      <w:kern w:val="0"/>
                      <w:szCs w:val="21"/>
                      <w:highlight w:val="none"/>
                      <w:lang w:bidi="ar"/>
                    </w:rPr>
                    <w:t>排放</w:t>
                  </w:r>
                </w:p>
              </w:tc>
              <w:tc>
                <w:tcPr>
                  <w:tcW w:w="501" w:type="pct"/>
                  <w:vAlign w:val="center"/>
                </w:tcPr>
                <w:p>
                  <w:pPr>
                    <w:pStyle w:val="35"/>
                    <w:spacing w:line="240" w:lineRule="exact"/>
                    <w:rPr>
                      <w:rFonts w:hint="eastAsia"/>
                      <w:color w:val="auto"/>
                      <w:kern w:val="0"/>
                      <w:highlight w:val="none"/>
                      <w:lang w:val="en-US" w:eastAsia="zh-CN"/>
                    </w:rPr>
                  </w:pPr>
                  <w:r>
                    <w:rPr>
                      <w:rFonts w:hint="eastAsia"/>
                      <w:color w:val="auto"/>
                      <w:kern w:val="0"/>
                      <w:highlight w:val="none"/>
                      <w:lang w:val="en-US" w:eastAsia="zh-CN"/>
                    </w:rPr>
                    <w:t>1</w:t>
                  </w:r>
                </w:p>
              </w:tc>
              <w:tc>
                <w:tcPr>
                  <w:tcW w:w="432" w:type="pct"/>
                  <w:vAlign w:val="center"/>
                </w:tcPr>
                <w:p>
                  <w:pPr>
                    <w:widowControl/>
                    <w:jc w:val="center"/>
                    <w:textAlignment w:val="center"/>
                    <w:rPr>
                      <w:rFonts w:hint="default"/>
                      <w:color w:val="auto"/>
                      <w:kern w:val="0"/>
                      <w:szCs w:val="21"/>
                      <w:highlight w:val="none"/>
                      <w:lang w:val="en-US" w:bidi="ar"/>
                    </w:rPr>
                  </w:pPr>
                  <w:r>
                    <w:rPr>
                      <w:rFonts w:hint="eastAsia"/>
                      <w:color w:val="auto"/>
                      <w:kern w:val="0"/>
                      <w:szCs w:val="21"/>
                      <w:highlight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kern w:val="0"/>
                      <w:szCs w:val="21"/>
                      <w:highlight w:val="none"/>
                    </w:rPr>
                  </w:pPr>
                  <w:r>
                    <w:rPr>
                      <w:rFonts w:hint="eastAsia"/>
                      <w:color w:val="auto"/>
                      <w:szCs w:val="21"/>
                      <w:highlight w:val="none"/>
                      <w:lang w:val="en-US" w:eastAsia="zh-CN"/>
                    </w:rPr>
                    <w:t>卸矿站</w:t>
                  </w:r>
                  <w:r>
                    <w:rPr>
                      <w:rFonts w:hint="eastAsia"/>
                      <w:color w:val="auto"/>
                      <w:szCs w:val="21"/>
                      <w:highlight w:val="none"/>
                    </w:rPr>
                    <w:t>堆场</w:t>
                  </w:r>
                  <w:r>
                    <w:rPr>
                      <w:rFonts w:hint="eastAsia"/>
                      <w:color w:val="auto"/>
                      <w:szCs w:val="21"/>
                      <w:highlight w:val="none"/>
                      <w:lang w:val="en-US" w:eastAsia="zh-CN"/>
                    </w:rPr>
                    <w:t>装卸</w:t>
                  </w:r>
                  <w:r>
                    <w:rPr>
                      <w:rFonts w:hint="eastAsia"/>
                      <w:color w:val="auto"/>
                      <w:szCs w:val="21"/>
                      <w:highlight w:val="none"/>
                    </w:rPr>
                    <w:t>扬尘</w:t>
                  </w:r>
                  <w:r>
                    <w:rPr>
                      <w:rFonts w:hint="eastAsia"/>
                      <w:color w:val="auto"/>
                      <w:szCs w:val="21"/>
                      <w:highlight w:val="none"/>
                      <w:lang w:eastAsia="zh-CN"/>
                    </w:rPr>
                    <w:t>，</w:t>
                  </w:r>
                  <w:r>
                    <w:rPr>
                      <w:rFonts w:hint="eastAsia"/>
                      <w:color w:val="auto"/>
                      <w:szCs w:val="21"/>
                      <w:highlight w:val="none"/>
                      <w:lang w:val="en-US" w:eastAsia="zh-CN"/>
                    </w:rPr>
                    <w:t>拆包、输送机</w:t>
                  </w:r>
                  <w:r>
                    <w:rPr>
                      <w:rFonts w:hint="eastAsia"/>
                      <w:color w:val="auto"/>
                      <w:szCs w:val="21"/>
                      <w:highlight w:val="none"/>
                    </w:rPr>
                    <w:t>输送粉尘</w:t>
                  </w:r>
                </w:p>
              </w:tc>
              <w:tc>
                <w:tcPr>
                  <w:tcW w:w="2376" w:type="pct"/>
                  <w:vAlign w:val="center"/>
                </w:tcPr>
                <w:p>
                  <w:pPr>
                    <w:adjustRightInd w:val="0"/>
                    <w:snapToGrid w:val="0"/>
                    <w:jc w:val="center"/>
                    <w:rPr>
                      <w:color w:val="auto"/>
                      <w:kern w:val="0"/>
                      <w:szCs w:val="21"/>
                      <w:highlight w:val="none"/>
                    </w:rPr>
                  </w:pPr>
                  <w:r>
                    <w:rPr>
                      <w:rFonts w:hint="eastAsia"/>
                      <w:color w:val="auto"/>
                      <w:kern w:val="0"/>
                      <w:szCs w:val="21"/>
                      <w:highlight w:val="none"/>
                      <w:lang w:bidi="ar"/>
                    </w:rPr>
                    <w:t>智能高压喷雾抑尘装置，封闭车间沉降</w:t>
                  </w:r>
                </w:p>
              </w:tc>
              <w:tc>
                <w:tcPr>
                  <w:tcW w:w="501" w:type="pct"/>
                  <w:vAlign w:val="center"/>
                </w:tcPr>
                <w:p>
                  <w:pPr>
                    <w:pStyle w:val="35"/>
                    <w:spacing w:line="240" w:lineRule="exact"/>
                    <w:rPr>
                      <w:rFonts w:hint="eastAsia" w:eastAsia="宋体"/>
                      <w:color w:val="auto"/>
                      <w:kern w:val="0"/>
                      <w:highlight w:val="none"/>
                      <w:lang w:eastAsia="zh-CN"/>
                    </w:rPr>
                  </w:pPr>
                  <w:r>
                    <w:rPr>
                      <w:rFonts w:hint="eastAsia"/>
                      <w:color w:val="auto"/>
                      <w:kern w:val="0"/>
                      <w:highlight w:val="none"/>
                      <w:lang w:val="en-US" w:eastAsia="zh-CN"/>
                    </w:rPr>
                    <w:t>4</w:t>
                  </w:r>
                </w:p>
              </w:tc>
              <w:tc>
                <w:tcPr>
                  <w:tcW w:w="432" w:type="pct"/>
                  <w:vAlign w:val="center"/>
                </w:tcPr>
                <w:p>
                  <w:pPr>
                    <w:widowControl/>
                    <w:jc w:val="center"/>
                    <w:textAlignment w:val="center"/>
                    <w:rPr>
                      <w:rFonts w:hint="default" w:eastAsia="宋体"/>
                      <w:color w:val="auto"/>
                      <w:kern w:val="0"/>
                      <w:szCs w:val="21"/>
                      <w:highlight w:val="none"/>
                      <w:lang w:val="en-US" w:eastAsia="zh-CN"/>
                    </w:rPr>
                  </w:pPr>
                  <w:r>
                    <w:rPr>
                      <w:rFonts w:hint="eastAsia"/>
                      <w:color w:val="auto"/>
                      <w:kern w:val="0"/>
                      <w:szCs w:val="21"/>
                      <w:highlight w:val="none"/>
                      <w:lang w:val="en-US" w:eastAsia="zh-CN" w:bidi="ar"/>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rFonts w:hint="default"/>
                      <w:color w:val="auto"/>
                      <w:kern w:val="0"/>
                      <w:szCs w:val="21"/>
                      <w:highlight w:val="none"/>
                      <w:lang w:val="en-US"/>
                    </w:rPr>
                  </w:pPr>
                  <w:r>
                    <w:rPr>
                      <w:rFonts w:hint="eastAsia"/>
                      <w:color w:val="auto"/>
                      <w:kern w:val="0"/>
                      <w:szCs w:val="21"/>
                      <w:highlight w:val="none"/>
                      <w:lang w:val="en-US" w:eastAsia="zh-CN"/>
                    </w:rPr>
                    <w:t>混矿库S-2~6、S-9、S-14号等输送机卸料点及西侧配料皮带秤卸料点粉尘</w:t>
                  </w:r>
                </w:p>
              </w:tc>
              <w:tc>
                <w:tcPr>
                  <w:tcW w:w="2376" w:type="pct"/>
                  <w:vAlign w:val="center"/>
                </w:tcPr>
                <w:p>
                  <w:pPr>
                    <w:widowControl/>
                    <w:jc w:val="center"/>
                    <w:textAlignment w:val="center"/>
                    <w:rPr>
                      <w:color w:val="auto"/>
                      <w:kern w:val="0"/>
                      <w:szCs w:val="21"/>
                      <w:highlight w:val="none"/>
                    </w:rPr>
                  </w:pPr>
                  <w:r>
                    <w:rPr>
                      <w:rFonts w:hint="eastAsia"/>
                      <w:color w:val="auto"/>
                      <w:kern w:val="0"/>
                      <w:szCs w:val="21"/>
                      <w:highlight w:val="none"/>
                      <w:lang w:bidi="ar"/>
                    </w:rPr>
                    <w:t>负压集气</w:t>
                  </w: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DA003</w:t>
                  </w:r>
                  <w:r>
                    <w:rPr>
                      <w:rFonts w:hint="eastAsia"/>
                      <w:color w:val="auto"/>
                      <w:kern w:val="0"/>
                      <w:szCs w:val="21"/>
                      <w:highlight w:val="none"/>
                      <w:lang w:eastAsia="zh-CN" w:bidi="ar"/>
                    </w:rPr>
                    <w:t>）</w:t>
                  </w:r>
                  <w:r>
                    <w:rPr>
                      <w:color w:val="auto"/>
                      <w:kern w:val="0"/>
                      <w:szCs w:val="21"/>
                      <w:highlight w:val="none"/>
                      <w:lang w:bidi="ar"/>
                    </w:rPr>
                    <w:t>排放</w:t>
                  </w:r>
                  <w:r>
                    <w:rPr>
                      <w:rFonts w:hint="eastAsia"/>
                      <w:color w:val="auto"/>
                      <w:kern w:val="0"/>
                      <w:szCs w:val="21"/>
                      <w:highlight w:val="none"/>
                      <w:lang w:bidi="ar"/>
                    </w:rPr>
                    <w:t>，</w:t>
                  </w:r>
                  <w:r>
                    <w:rPr>
                      <w:color w:val="auto"/>
                      <w:kern w:val="0"/>
                      <w:szCs w:val="21"/>
                      <w:highlight w:val="none"/>
                      <w:lang w:bidi="ar"/>
                    </w:rPr>
                    <w:t>喷雾降尘，封闭车间沉降</w:t>
                  </w:r>
                </w:p>
              </w:tc>
              <w:tc>
                <w:tcPr>
                  <w:tcW w:w="501" w:type="pct"/>
                  <w:vAlign w:val="center"/>
                </w:tcPr>
                <w:p>
                  <w:pPr>
                    <w:pStyle w:val="35"/>
                    <w:spacing w:line="240" w:lineRule="exact"/>
                    <w:rPr>
                      <w:color w:val="auto"/>
                      <w:kern w:val="0"/>
                      <w:highlight w:val="none"/>
                    </w:rPr>
                  </w:pPr>
                  <w:r>
                    <w:rPr>
                      <w:rFonts w:hint="eastAsia"/>
                      <w:color w:val="auto"/>
                      <w:kern w:val="0"/>
                      <w:highlight w:val="none"/>
                    </w:rPr>
                    <w:t>1</w:t>
                  </w:r>
                </w:p>
              </w:tc>
              <w:tc>
                <w:tcPr>
                  <w:tcW w:w="432" w:type="pct"/>
                  <w:vAlign w:val="center"/>
                </w:tcPr>
                <w:p>
                  <w:pPr>
                    <w:widowControl/>
                    <w:jc w:val="center"/>
                    <w:textAlignment w:val="center"/>
                    <w:rPr>
                      <w:color w:val="auto"/>
                      <w:kern w:val="0"/>
                      <w:szCs w:val="21"/>
                      <w:highlight w:val="none"/>
                    </w:rPr>
                  </w:pPr>
                  <w:r>
                    <w:rPr>
                      <w:rFonts w:hint="eastAsia"/>
                      <w:color w:val="auto"/>
                      <w:kern w:val="0"/>
                      <w:szCs w:val="21"/>
                      <w:highlight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rFonts w:hint="default"/>
                      <w:color w:val="auto"/>
                      <w:kern w:val="0"/>
                      <w:szCs w:val="21"/>
                      <w:highlight w:val="none"/>
                      <w:lang w:val="en-US" w:eastAsia="zh-CN"/>
                    </w:rPr>
                  </w:pPr>
                  <w:r>
                    <w:rPr>
                      <w:rFonts w:hint="eastAsia"/>
                      <w:color w:val="auto"/>
                      <w:kern w:val="0"/>
                      <w:szCs w:val="21"/>
                      <w:highlight w:val="none"/>
                      <w:lang w:val="en-US" w:eastAsia="zh-CN"/>
                    </w:rPr>
                    <w:t>4#胶带输送机，混矿库S-1、S-7~8、S-10、S-15等输送机卸料点及东侧配料皮带秤卸料点粉尘</w:t>
                  </w:r>
                </w:p>
              </w:tc>
              <w:tc>
                <w:tcPr>
                  <w:tcW w:w="2376" w:type="pc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负压集气</w:t>
                  </w: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DA004</w:t>
                  </w:r>
                  <w:r>
                    <w:rPr>
                      <w:rFonts w:hint="eastAsia"/>
                      <w:color w:val="auto"/>
                      <w:kern w:val="0"/>
                      <w:szCs w:val="21"/>
                      <w:highlight w:val="none"/>
                      <w:lang w:eastAsia="zh-CN" w:bidi="ar"/>
                    </w:rPr>
                    <w:t>）</w:t>
                  </w:r>
                  <w:r>
                    <w:rPr>
                      <w:color w:val="auto"/>
                      <w:kern w:val="0"/>
                      <w:szCs w:val="21"/>
                      <w:highlight w:val="none"/>
                      <w:lang w:bidi="ar"/>
                    </w:rPr>
                    <w:t>排放</w:t>
                  </w:r>
                  <w:r>
                    <w:rPr>
                      <w:rFonts w:hint="eastAsia"/>
                      <w:color w:val="auto"/>
                      <w:kern w:val="0"/>
                      <w:szCs w:val="21"/>
                      <w:highlight w:val="none"/>
                      <w:lang w:bidi="ar"/>
                    </w:rPr>
                    <w:t>，</w:t>
                  </w:r>
                  <w:r>
                    <w:rPr>
                      <w:color w:val="auto"/>
                      <w:kern w:val="0"/>
                      <w:szCs w:val="21"/>
                      <w:highlight w:val="none"/>
                      <w:lang w:bidi="ar"/>
                    </w:rPr>
                    <w:t>喷雾降尘，封闭车间沉降</w:t>
                  </w:r>
                </w:p>
              </w:tc>
              <w:tc>
                <w:tcPr>
                  <w:tcW w:w="501" w:type="pct"/>
                  <w:vAlign w:val="center"/>
                </w:tcPr>
                <w:p>
                  <w:pPr>
                    <w:pStyle w:val="35"/>
                    <w:spacing w:line="240" w:lineRule="exact"/>
                    <w:rPr>
                      <w:rFonts w:hint="eastAsia" w:eastAsia="宋体"/>
                      <w:color w:val="auto"/>
                      <w:kern w:val="0"/>
                      <w:highlight w:val="none"/>
                      <w:lang w:val="en-US" w:eastAsia="zh-CN"/>
                    </w:rPr>
                  </w:pPr>
                  <w:r>
                    <w:rPr>
                      <w:rFonts w:hint="eastAsia"/>
                      <w:color w:val="auto"/>
                      <w:kern w:val="0"/>
                      <w:highlight w:val="none"/>
                      <w:lang w:val="en-US" w:eastAsia="zh-CN"/>
                    </w:rPr>
                    <w:t>1</w:t>
                  </w:r>
                </w:p>
              </w:tc>
              <w:tc>
                <w:tcPr>
                  <w:tcW w:w="432" w:type="pct"/>
                  <w:vAlign w:val="center"/>
                </w:tcPr>
                <w:p>
                  <w:pPr>
                    <w:widowControl/>
                    <w:jc w:val="center"/>
                    <w:textAlignment w:val="center"/>
                    <w:rPr>
                      <w:rFonts w:hint="default" w:eastAsia="宋体"/>
                      <w:color w:val="auto"/>
                      <w:kern w:val="0"/>
                      <w:szCs w:val="21"/>
                      <w:highlight w:val="none"/>
                      <w:lang w:val="en-US" w:eastAsia="zh-CN" w:bidi="ar"/>
                    </w:rPr>
                  </w:pPr>
                  <w:r>
                    <w:rPr>
                      <w:rFonts w:hint="eastAsia"/>
                      <w:color w:val="auto"/>
                      <w:kern w:val="0"/>
                      <w:szCs w:val="21"/>
                      <w:highlight w:val="none"/>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rFonts w:hint="eastAsia"/>
                      <w:color w:val="auto"/>
                      <w:kern w:val="0"/>
                      <w:szCs w:val="21"/>
                      <w:highlight w:val="none"/>
                      <w:lang w:val="en-US" w:eastAsia="zh-CN"/>
                    </w:rPr>
                  </w:pPr>
                  <w:r>
                    <w:rPr>
                      <w:rFonts w:hint="eastAsia"/>
                      <w:color w:val="auto"/>
                      <w:kern w:val="0"/>
                      <w:szCs w:val="21"/>
                      <w:highlight w:val="none"/>
                      <w:lang w:val="en-US" w:eastAsia="zh-CN"/>
                    </w:rPr>
                    <w:t>混矿库上料、落料粉尘，混矿粉尘，输送机输送粉尘，原料、成品堆场粉尘</w:t>
                  </w:r>
                </w:p>
              </w:tc>
              <w:tc>
                <w:tcPr>
                  <w:tcW w:w="2376" w:type="pct"/>
                  <w:vAlign w:val="center"/>
                </w:tcPr>
                <w:p>
                  <w:pPr>
                    <w:widowControl/>
                    <w:jc w:val="center"/>
                    <w:textAlignment w:val="center"/>
                    <w:rPr>
                      <w:rFonts w:hint="eastAsia"/>
                      <w:color w:val="auto"/>
                      <w:kern w:val="0"/>
                      <w:szCs w:val="21"/>
                      <w:highlight w:val="none"/>
                      <w:lang w:bidi="ar"/>
                    </w:rPr>
                  </w:pPr>
                  <w:r>
                    <w:rPr>
                      <w:rFonts w:hint="eastAsia"/>
                      <w:color w:val="auto"/>
                      <w:kern w:val="0"/>
                      <w:szCs w:val="21"/>
                      <w:highlight w:val="none"/>
                      <w:lang w:bidi="ar"/>
                    </w:rPr>
                    <w:t>智能高压喷雾抑尘装置，封闭车间沉降</w:t>
                  </w:r>
                </w:p>
              </w:tc>
              <w:tc>
                <w:tcPr>
                  <w:tcW w:w="501" w:type="pct"/>
                  <w:vAlign w:val="center"/>
                </w:tcPr>
                <w:p>
                  <w:pPr>
                    <w:pStyle w:val="35"/>
                    <w:spacing w:line="240" w:lineRule="exact"/>
                    <w:rPr>
                      <w:rFonts w:hint="default"/>
                      <w:color w:val="auto"/>
                      <w:kern w:val="0"/>
                      <w:highlight w:val="none"/>
                      <w:lang w:val="en-US" w:eastAsia="zh-CN"/>
                    </w:rPr>
                  </w:pPr>
                  <w:r>
                    <w:rPr>
                      <w:rFonts w:hint="eastAsia"/>
                      <w:color w:val="auto"/>
                      <w:kern w:val="0"/>
                      <w:highlight w:val="none"/>
                      <w:lang w:val="en-US" w:eastAsia="zh-CN"/>
                    </w:rPr>
                    <w:t>3</w:t>
                  </w:r>
                </w:p>
              </w:tc>
              <w:tc>
                <w:tcPr>
                  <w:tcW w:w="432" w:type="pct"/>
                  <w:vAlign w:val="center"/>
                </w:tcPr>
                <w:p>
                  <w:pPr>
                    <w:widowControl/>
                    <w:jc w:val="center"/>
                    <w:textAlignment w:val="center"/>
                    <w:rPr>
                      <w:rFonts w:hint="default"/>
                      <w:color w:val="auto"/>
                      <w:kern w:val="0"/>
                      <w:szCs w:val="21"/>
                      <w:highlight w:val="none"/>
                      <w:lang w:val="en-US" w:eastAsia="zh-CN" w:bidi="ar"/>
                    </w:rPr>
                  </w:pPr>
                  <w:r>
                    <w:rPr>
                      <w:rFonts w:hint="eastAsia"/>
                      <w:color w:val="auto"/>
                      <w:kern w:val="0"/>
                      <w:szCs w:val="21"/>
                      <w:highlight w:val="none"/>
                      <w:lang w:val="en-US" w:eastAsia="zh-CN" w:bidi="ar"/>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kern w:val="0"/>
                      <w:szCs w:val="21"/>
                      <w:highlight w:val="none"/>
                    </w:rPr>
                  </w:pPr>
                  <w:r>
                    <w:rPr>
                      <w:rFonts w:hint="eastAsia"/>
                      <w:color w:val="auto"/>
                      <w:szCs w:val="21"/>
                      <w:highlight w:val="none"/>
                    </w:rPr>
                    <w:t>制样粉尘</w:t>
                  </w:r>
                </w:p>
              </w:tc>
              <w:tc>
                <w:tcPr>
                  <w:tcW w:w="2376" w:type="pct"/>
                  <w:vAlign w:val="center"/>
                </w:tcPr>
                <w:p>
                  <w:pPr>
                    <w:widowControl/>
                    <w:jc w:val="center"/>
                    <w:textAlignment w:val="center"/>
                    <w:rPr>
                      <w:color w:val="auto"/>
                      <w:kern w:val="0"/>
                      <w:szCs w:val="21"/>
                      <w:highlight w:val="none"/>
                    </w:rPr>
                  </w:pPr>
                  <w:r>
                    <w:rPr>
                      <w:rFonts w:hint="eastAsia"/>
                      <w:color w:val="auto"/>
                      <w:kern w:val="0"/>
                      <w:szCs w:val="21"/>
                      <w:highlight w:val="none"/>
                      <w:lang w:bidi="ar"/>
                    </w:rPr>
                    <w:t>负压集气</w:t>
                  </w:r>
                  <w:r>
                    <w:rPr>
                      <w:color w:val="auto"/>
                      <w:kern w:val="0"/>
                      <w:szCs w:val="21"/>
                      <w:highlight w:val="none"/>
                      <w:lang w:bidi="ar"/>
                    </w:rPr>
                    <w:t>+</w:t>
                  </w:r>
                  <w:r>
                    <w:rPr>
                      <w:rFonts w:hint="eastAsia"/>
                      <w:color w:val="auto"/>
                      <w:kern w:val="0"/>
                      <w:szCs w:val="21"/>
                      <w:highlight w:val="none"/>
                      <w:lang w:bidi="ar"/>
                    </w:rPr>
                    <w:t>滤筒除尘</w:t>
                  </w:r>
                  <w:r>
                    <w:rPr>
                      <w:color w:val="auto"/>
                      <w:kern w:val="0"/>
                      <w:szCs w:val="21"/>
                      <w:highlight w:val="none"/>
                      <w:lang w:bidi="ar"/>
                    </w:rPr>
                    <w:t>处理，喷雾降尘，封闭车间沉降</w:t>
                  </w:r>
                </w:p>
              </w:tc>
              <w:tc>
                <w:tcPr>
                  <w:tcW w:w="501" w:type="pct"/>
                  <w:vAlign w:val="center"/>
                </w:tcPr>
                <w:p>
                  <w:pPr>
                    <w:pStyle w:val="35"/>
                    <w:spacing w:line="240" w:lineRule="exact"/>
                    <w:rPr>
                      <w:rFonts w:hint="eastAsia" w:eastAsia="宋体"/>
                      <w:color w:val="auto"/>
                      <w:kern w:val="0"/>
                      <w:highlight w:val="none"/>
                      <w:lang w:eastAsia="zh-CN"/>
                    </w:rPr>
                  </w:pPr>
                  <w:r>
                    <w:rPr>
                      <w:rFonts w:hint="eastAsia"/>
                      <w:color w:val="auto"/>
                      <w:kern w:val="0"/>
                      <w:highlight w:val="none"/>
                      <w:lang w:val="en-US" w:eastAsia="zh-CN"/>
                    </w:rPr>
                    <w:t>1</w:t>
                  </w:r>
                </w:p>
              </w:tc>
              <w:tc>
                <w:tcPr>
                  <w:tcW w:w="432" w:type="pct"/>
                  <w:vAlign w:val="center"/>
                </w:tcPr>
                <w:p>
                  <w:pPr>
                    <w:widowControl/>
                    <w:jc w:val="center"/>
                    <w:textAlignment w:val="center"/>
                    <w:rPr>
                      <w:color w:val="auto"/>
                      <w:kern w:val="0"/>
                      <w:szCs w:val="21"/>
                      <w:highlight w:val="none"/>
                    </w:rPr>
                  </w:pPr>
                  <w:r>
                    <w:rPr>
                      <w:rFonts w:hint="eastAsia"/>
                      <w:color w:val="auto"/>
                      <w:kern w:val="0"/>
                      <w:szCs w:val="21"/>
                      <w:highlight w:val="none"/>
                      <w:lang w:val="en-US" w:eastAsia="zh-CN" w:bidi="ar"/>
                    </w:rPr>
                    <w:t>2</w:t>
                  </w:r>
                  <w:r>
                    <w:rPr>
                      <w:color w:val="auto"/>
                      <w:kern w:val="0"/>
                      <w:szCs w:val="21"/>
                      <w:highlight w:val="none"/>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35"/>
                    <w:spacing w:line="240" w:lineRule="exact"/>
                    <w:rPr>
                      <w:color w:val="auto"/>
                      <w:kern w:val="0"/>
                      <w:highlight w:val="none"/>
                    </w:rPr>
                  </w:pPr>
                  <w:r>
                    <w:rPr>
                      <w:rFonts w:hint="eastAsia"/>
                      <w:color w:val="auto"/>
                      <w:kern w:val="0"/>
                      <w:highlight w:val="none"/>
                    </w:rPr>
                    <w:t>废水污染</w:t>
                  </w:r>
                </w:p>
              </w:tc>
              <w:tc>
                <w:tcPr>
                  <w:tcW w:w="1305" w:type="pct"/>
                  <w:vAlign w:val="center"/>
                </w:tcPr>
                <w:p>
                  <w:pPr>
                    <w:adjustRightInd w:val="0"/>
                    <w:snapToGrid w:val="0"/>
                    <w:jc w:val="center"/>
                    <w:rPr>
                      <w:color w:val="auto"/>
                      <w:szCs w:val="21"/>
                      <w:highlight w:val="none"/>
                    </w:rPr>
                  </w:pPr>
                  <w:r>
                    <w:rPr>
                      <w:rFonts w:hint="eastAsia"/>
                      <w:color w:val="auto"/>
                      <w:szCs w:val="21"/>
                      <w:highlight w:val="none"/>
                    </w:rPr>
                    <w:t>工作人员办公生活</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val="en-US" w:eastAsia="zh-CN" w:bidi="ar"/>
                    </w:rPr>
                    <w:t>三级</w:t>
                  </w:r>
                  <w:r>
                    <w:rPr>
                      <w:rFonts w:hint="eastAsia"/>
                      <w:color w:val="auto"/>
                      <w:kern w:val="0"/>
                      <w:szCs w:val="21"/>
                      <w:highlight w:val="none"/>
                      <w:lang w:bidi="ar"/>
                    </w:rPr>
                    <w:t>化粪池</w:t>
                  </w:r>
                </w:p>
              </w:tc>
              <w:tc>
                <w:tcPr>
                  <w:tcW w:w="501" w:type="pct"/>
                  <w:vAlign w:val="center"/>
                </w:tcPr>
                <w:p>
                  <w:pPr>
                    <w:pStyle w:val="35"/>
                    <w:spacing w:line="240" w:lineRule="exact"/>
                    <w:rPr>
                      <w:rFonts w:hint="eastAsia" w:eastAsia="宋体"/>
                      <w:color w:val="auto"/>
                      <w:kern w:val="0"/>
                      <w:highlight w:val="none"/>
                      <w:lang w:eastAsia="zh-CN"/>
                    </w:rPr>
                  </w:pPr>
                  <w:r>
                    <w:rPr>
                      <w:rFonts w:hint="eastAsia"/>
                      <w:color w:val="auto"/>
                      <w:kern w:val="0"/>
                      <w:highlight w:val="none"/>
                      <w:lang w:val="en-US" w:eastAsia="zh-CN"/>
                    </w:rPr>
                    <w:t>1</w:t>
                  </w:r>
                </w:p>
              </w:tc>
              <w:tc>
                <w:tcPr>
                  <w:tcW w:w="432" w:type="pct"/>
                  <w:vAlign w:val="center"/>
                </w:tcPr>
                <w:p>
                  <w:pPr>
                    <w:widowControl/>
                    <w:jc w:val="center"/>
                    <w:textAlignment w:val="center"/>
                    <w:rPr>
                      <w:rFonts w:hint="eastAsia" w:eastAsia="宋体"/>
                      <w:color w:val="auto"/>
                      <w:kern w:val="0"/>
                      <w:szCs w:val="21"/>
                      <w:highlight w:val="none"/>
                      <w:lang w:val="en-US" w:eastAsia="zh-CN"/>
                    </w:rPr>
                  </w:pPr>
                  <w:r>
                    <w:rPr>
                      <w:rFonts w:hint="eastAsia"/>
                      <w:color w:val="auto"/>
                      <w:kern w:val="0"/>
                      <w:szCs w:val="21"/>
                      <w:highlight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szCs w:val="21"/>
                      <w:highlight w:val="none"/>
                    </w:rPr>
                  </w:pPr>
                  <w:r>
                    <w:rPr>
                      <w:rFonts w:hint="eastAsia"/>
                      <w:color w:val="auto"/>
                      <w:szCs w:val="21"/>
                      <w:highlight w:val="none"/>
                    </w:rPr>
                    <w:t>生产废水处理</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沉淀池、过滤池、回用水池、回用水管道</w:t>
                  </w:r>
                </w:p>
              </w:tc>
              <w:tc>
                <w:tcPr>
                  <w:tcW w:w="501" w:type="pct"/>
                  <w:vAlign w:val="center"/>
                </w:tcPr>
                <w:p>
                  <w:pPr>
                    <w:pStyle w:val="35"/>
                    <w:spacing w:line="240" w:lineRule="exact"/>
                    <w:rPr>
                      <w:color w:val="auto"/>
                      <w:kern w:val="0"/>
                      <w:highlight w:val="none"/>
                    </w:rPr>
                  </w:pPr>
                  <w:r>
                    <w:rPr>
                      <w:rFonts w:hint="eastAsia"/>
                      <w:color w:val="auto"/>
                      <w:kern w:val="0"/>
                      <w:highlight w:val="none"/>
                    </w:rPr>
                    <w:t>1</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szCs w:val="21"/>
                      <w:highlight w:val="none"/>
                    </w:rPr>
                  </w:pPr>
                  <w:r>
                    <w:rPr>
                      <w:rFonts w:hint="eastAsia"/>
                      <w:color w:val="auto"/>
                      <w:szCs w:val="21"/>
                      <w:highlight w:val="none"/>
                    </w:rPr>
                    <w:t>初期雨水收集</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初期雨水收集池、切换阀门</w:t>
                  </w:r>
                </w:p>
              </w:tc>
              <w:tc>
                <w:tcPr>
                  <w:tcW w:w="501" w:type="pct"/>
                  <w:vAlign w:val="center"/>
                </w:tcPr>
                <w:p>
                  <w:pPr>
                    <w:pStyle w:val="35"/>
                    <w:spacing w:line="240" w:lineRule="exact"/>
                    <w:rPr>
                      <w:color w:val="auto"/>
                      <w:kern w:val="0"/>
                      <w:highlight w:val="none"/>
                    </w:rPr>
                  </w:pPr>
                  <w:r>
                    <w:rPr>
                      <w:rFonts w:hint="eastAsia"/>
                      <w:color w:val="auto"/>
                      <w:kern w:val="0"/>
                      <w:highlight w:val="none"/>
                    </w:rPr>
                    <w:t>1</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35"/>
                    <w:spacing w:line="240" w:lineRule="exact"/>
                    <w:rPr>
                      <w:color w:val="auto"/>
                      <w:kern w:val="0"/>
                      <w:highlight w:val="none"/>
                    </w:rPr>
                  </w:pPr>
                  <w:r>
                    <w:rPr>
                      <w:rFonts w:hint="eastAsia"/>
                      <w:color w:val="auto"/>
                      <w:kern w:val="0"/>
                      <w:highlight w:val="none"/>
                    </w:rPr>
                    <w:t>地下水、土壤</w:t>
                  </w:r>
                </w:p>
              </w:tc>
              <w:tc>
                <w:tcPr>
                  <w:tcW w:w="1305" w:type="pct"/>
                  <w:vMerge w:val="restart"/>
                  <w:vAlign w:val="center"/>
                </w:tcPr>
                <w:p>
                  <w:pPr>
                    <w:adjustRightInd w:val="0"/>
                    <w:snapToGrid w:val="0"/>
                    <w:jc w:val="center"/>
                    <w:rPr>
                      <w:color w:val="auto"/>
                      <w:szCs w:val="21"/>
                      <w:highlight w:val="none"/>
                    </w:rPr>
                  </w:pPr>
                  <w:r>
                    <w:rPr>
                      <w:rFonts w:hint="eastAsia"/>
                      <w:color w:val="auto"/>
                      <w:szCs w:val="21"/>
                      <w:highlight w:val="none"/>
                    </w:rPr>
                    <w:t>污水输送管道、</w:t>
                  </w:r>
                  <w:r>
                    <w:rPr>
                      <w:rFonts w:hint="eastAsia"/>
                      <w:color w:val="auto"/>
                      <w:szCs w:val="21"/>
                      <w:highlight w:val="none"/>
                      <w:lang w:val="en-US" w:eastAsia="zh-CN"/>
                    </w:rPr>
                    <w:t>隔油</w:t>
                  </w:r>
                  <w:r>
                    <w:rPr>
                      <w:rFonts w:hint="eastAsia"/>
                      <w:color w:val="auto"/>
                      <w:szCs w:val="21"/>
                      <w:highlight w:val="none"/>
                    </w:rPr>
                    <w:t>沉淀池、初期雨水池各单体防渗层破裂等</w:t>
                  </w:r>
                </w:p>
              </w:tc>
              <w:tc>
                <w:tcPr>
                  <w:tcW w:w="2376" w:type="pct"/>
                  <w:vAlign w:val="center"/>
                </w:tcPr>
                <w:p>
                  <w:pPr>
                    <w:adjustRightInd w:val="0"/>
                    <w:snapToGrid w:val="0"/>
                    <w:jc w:val="left"/>
                    <w:rPr>
                      <w:color w:val="auto"/>
                      <w:kern w:val="0"/>
                      <w:szCs w:val="21"/>
                      <w:highlight w:val="none"/>
                      <w:lang w:bidi="ar"/>
                    </w:rPr>
                  </w:pPr>
                  <w:r>
                    <w:rPr>
                      <w:rFonts w:hint="eastAsia"/>
                      <w:color w:val="auto"/>
                      <w:kern w:val="0"/>
                      <w:szCs w:val="21"/>
                      <w:highlight w:val="none"/>
                      <w:lang w:bidi="ar"/>
                    </w:rPr>
                    <w:t>重点防渗区：</w:t>
                  </w:r>
                  <w:r>
                    <w:rPr>
                      <w:rFonts w:hint="eastAsia"/>
                      <w:color w:val="auto"/>
                      <w:szCs w:val="21"/>
                      <w:highlight w:val="none"/>
                    </w:rPr>
                    <w:t>生产废水沉淀池、初期雨水池、回用水管道、</w:t>
                  </w:r>
                  <w:r>
                    <w:rPr>
                      <w:color w:val="auto"/>
                      <w:szCs w:val="21"/>
                      <w:highlight w:val="none"/>
                    </w:rPr>
                    <w:t>危废暂存间</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Merge w:val="continue"/>
                  <w:vAlign w:val="center"/>
                </w:tcPr>
                <w:p>
                  <w:pPr>
                    <w:adjustRightInd w:val="0"/>
                    <w:snapToGrid w:val="0"/>
                    <w:jc w:val="center"/>
                    <w:rPr>
                      <w:color w:val="auto"/>
                      <w:szCs w:val="21"/>
                      <w:highlight w:val="none"/>
                    </w:rPr>
                  </w:pPr>
                </w:p>
              </w:tc>
              <w:tc>
                <w:tcPr>
                  <w:tcW w:w="2376" w:type="pct"/>
                  <w:vAlign w:val="center"/>
                </w:tcPr>
                <w:p>
                  <w:pPr>
                    <w:adjustRightInd w:val="0"/>
                    <w:snapToGrid w:val="0"/>
                    <w:jc w:val="left"/>
                    <w:rPr>
                      <w:color w:val="auto"/>
                      <w:kern w:val="0"/>
                      <w:szCs w:val="21"/>
                      <w:highlight w:val="none"/>
                      <w:lang w:bidi="ar"/>
                    </w:rPr>
                  </w:pPr>
                  <w:r>
                    <w:rPr>
                      <w:color w:val="auto"/>
                      <w:szCs w:val="21"/>
                      <w:highlight w:val="none"/>
                    </w:rPr>
                    <w:t>一般防渗区</w:t>
                  </w:r>
                  <w:r>
                    <w:rPr>
                      <w:rFonts w:hint="eastAsia"/>
                      <w:color w:val="auto"/>
                      <w:szCs w:val="21"/>
                      <w:highlight w:val="none"/>
                    </w:rPr>
                    <w:t>：一般固废暂存间</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Merge w:val="continue"/>
                  <w:vAlign w:val="center"/>
                </w:tcPr>
                <w:p>
                  <w:pPr>
                    <w:adjustRightInd w:val="0"/>
                    <w:snapToGrid w:val="0"/>
                    <w:jc w:val="center"/>
                    <w:rPr>
                      <w:color w:val="auto"/>
                      <w:szCs w:val="21"/>
                      <w:highlight w:val="none"/>
                    </w:rPr>
                  </w:pPr>
                </w:p>
              </w:tc>
              <w:tc>
                <w:tcPr>
                  <w:tcW w:w="2376" w:type="pct"/>
                  <w:vAlign w:val="center"/>
                </w:tcPr>
                <w:p>
                  <w:pPr>
                    <w:adjustRightInd w:val="0"/>
                    <w:snapToGrid w:val="0"/>
                    <w:jc w:val="left"/>
                    <w:rPr>
                      <w:color w:val="auto"/>
                      <w:kern w:val="0"/>
                      <w:szCs w:val="21"/>
                      <w:highlight w:val="none"/>
                      <w:lang w:bidi="ar"/>
                    </w:rPr>
                  </w:pPr>
                  <w:r>
                    <w:rPr>
                      <w:rFonts w:hint="eastAsia"/>
                      <w:color w:val="auto"/>
                      <w:szCs w:val="21"/>
                      <w:highlight w:val="none"/>
                    </w:rPr>
                    <w:t>简单防渗区：生产车间</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pPr>
                    <w:pStyle w:val="35"/>
                    <w:spacing w:line="240" w:lineRule="exact"/>
                    <w:rPr>
                      <w:color w:val="auto"/>
                      <w:kern w:val="0"/>
                      <w:highlight w:val="none"/>
                    </w:rPr>
                  </w:pPr>
                  <w:r>
                    <w:rPr>
                      <w:rFonts w:hint="eastAsia"/>
                      <w:color w:val="auto"/>
                      <w:kern w:val="0"/>
                      <w:highlight w:val="none"/>
                    </w:rPr>
                    <w:t>噪声污染</w:t>
                  </w:r>
                </w:p>
              </w:tc>
              <w:tc>
                <w:tcPr>
                  <w:tcW w:w="1305" w:type="pct"/>
                  <w:vAlign w:val="center"/>
                </w:tcPr>
                <w:p>
                  <w:pPr>
                    <w:adjustRightInd w:val="0"/>
                    <w:snapToGrid w:val="0"/>
                    <w:jc w:val="center"/>
                    <w:rPr>
                      <w:color w:val="auto"/>
                      <w:szCs w:val="21"/>
                      <w:highlight w:val="none"/>
                    </w:rPr>
                  </w:pPr>
                  <w:r>
                    <w:rPr>
                      <w:rFonts w:hint="eastAsia"/>
                      <w:color w:val="auto"/>
                      <w:szCs w:val="21"/>
                      <w:highlight w:val="none"/>
                    </w:rPr>
                    <w:t>各生产设备、废气处理设备风机运行产生的噪声</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选用低噪音、振动小的设备，在总平面布置注意将生产设备远离厂界，降低对厂界声环境的影响</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restart"/>
                  <w:vAlign w:val="center"/>
                </w:tcPr>
                <w:p>
                  <w:pPr>
                    <w:pStyle w:val="35"/>
                    <w:spacing w:line="240" w:lineRule="exact"/>
                    <w:rPr>
                      <w:color w:val="auto"/>
                      <w:kern w:val="0"/>
                      <w:highlight w:val="none"/>
                    </w:rPr>
                  </w:pPr>
                  <w:r>
                    <w:rPr>
                      <w:rFonts w:hint="eastAsia"/>
                      <w:color w:val="auto"/>
                      <w:kern w:val="0"/>
                      <w:highlight w:val="none"/>
                    </w:rPr>
                    <w:t>固体废物</w:t>
                  </w:r>
                </w:p>
              </w:tc>
              <w:tc>
                <w:tcPr>
                  <w:tcW w:w="1305" w:type="pct"/>
                  <w:vAlign w:val="center"/>
                </w:tcPr>
                <w:p>
                  <w:pPr>
                    <w:adjustRightInd w:val="0"/>
                    <w:snapToGrid w:val="0"/>
                    <w:jc w:val="center"/>
                    <w:rPr>
                      <w:color w:val="auto"/>
                      <w:szCs w:val="21"/>
                      <w:highlight w:val="none"/>
                    </w:rPr>
                  </w:pPr>
                  <w:r>
                    <w:rPr>
                      <w:rFonts w:hint="eastAsia"/>
                      <w:color w:val="auto"/>
                      <w:szCs w:val="21"/>
                      <w:highlight w:val="none"/>
                    </w:rPr>
                    <w:t>生活垃圾</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生活垃圾定点存放，由环卫部门统一清运处理</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szCs w:val="21"/>
                      <w:highlight w:val="none"/>
                    </w:rPr>
                  </w:pPr>
                  <w:r>
                    <w:rPr>
                      <w:rFonts w:hint="eastAsia"/>
                      <w:color w:val="auto"/>
                      <w:szCs w:val="21"/>
                      <w:highlight w:val="none"/>
                    </w:rPr>
                    <w:t>一般工业固体废物</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一般固废暂存间</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Merge w:val="continue"/>
                  <w:vAlign w:val="center"/>
                </w:tcPr>
                <w:p>
                  <w:pPr>
                    <w:pStyle w:val="35"/>
                    <w:spacing w:line="240" w:lineRule="exact"/>
                    <w:rPr>
                      <w:color w:val="auto"/>
                      <w:kern w:val="0"/>
                      <w:highlight w:val="none"/>
                    </w:rPr>
                  </w:pPr>
                </w:p>
              </w:tc>
              <w:tc>
                <w:tcPr>
                  <w:tcW w:w="1305" w:type="pct"/>
                  <w:vAlign w:val="center"/>
                </w:tcPr>
                <w:p>
                  <w:pPr>
                    <w:adjustRightInd w:val="0"/>
                    <w:snapToGrid w:val="0"/>
                    <w:jc w:val="center"/>
                    <w:rPr>
                      <w:color w:val="auto"/>
                      <w:szCs w:val="21"/>
                      <w:highlight w:val="none"/>
                    </w:rPr>
                  </w:pPr>
                  <w:r>
                    <w:rPr>
                      <w:rFonts w:hint="eastAsia"/>
                      <w:color w:val="auto"/>
                      <w:szCs w:val="21"/>
                      <w:highlight w:val="none"/>
                    </w:rPr>
                    <w:t>危险废物</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危险废物委托有处理资质的单位回收处置，新建危废暂存间</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pct"/>
                  <w:vAlign w:val="center"/>
                </w:tcPr>
                <w:p>
                  <w:pPr>
                    <w:pStyle w:val="35"/>
                    <w:spacing w:line="240" w:lineRule="exact"/>
                    <w:rPr>
                      <w:color w:val="auto"/>
                      <w:kern w:val="0"/>
                      <w:highlight w:val="none"/>
                    </w:rPr>
                  </w:pPr>
                  <w:r>
                    <w:rPr>
                      <w:rFonts w:hint="eastAsia"/>
                      <w:color w:val="auto"/>
                      <w:kern w:val="0"/>
                      <w:highlight w:val="none"/>
                    </w:rPr>
                    <w:t>环境风险</w:t>
                  </w:r>
                </w:p>
              </w:tc>
              <w:tc>
                <w:tcPr>
                  <w:tcW w:w="1305" w:type="pct"/>
                  <w:vAlign w:val="center"/>
                </w:tcPr>
                <w:p>
                  <w:pPr>
                    <w:adjustRightInd w:val="0"/>
                    <w:snapToGrid w:val="0"/>
                    <w:jc w:val="center"/>
                    <w:rPr>
                      <w:color w:val="auto"/>
                      <w:szCs w:val="21"/>
                      <w:highlight w:val="none"/>
                    </w:rPr>
                  </w:pPr>
                  <w:r>
                    <w:rPr>
                      <w:rFonts w:hint="eastAsia"/>
                      <w:color w:val="auto"/>
                      <w:szCs w:val="21"/>
                      <w:highlight w:val="none"/>
                    </w:rPr>
                    <w:t>环境风险事故</w:t>
                  </w:r>
                </w:p>
              </w:tc>
              <w:tc>
                <w:tcPr>
                  <w:tcW w:w="2376" w:type="pct"/>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风险处置措施，响应机制、报警机制投资，应急预案</w:t>
                  </w:r>
                </w:p>
              </w:tc>
              <w:tc>
                <w:tcPr>
                  <w:tcW w:w="501" w:type="pct"/>
                  <w:vAlign w:val="center"/>
                </w:tcPr>
                <w:p>
                  <w:pPr>
                    <w:pStyle w:val="35"/>
                    <w:spacing w:line="240" w:lineRule="exact"/>
                    <w:rPr>
                      <w:color w:val="auto"/>
                      <w:kern w:val="0"/>
                      <w:highlight w:val="none"/>
                    </w:rPr>
                  </w:pPr>
                  <w:r>
                    <w:rPr>
                      <w:rFonts w:hint="eastAsia"/>
                      <w:color w:val="auto"/>
                      <w:kern w:val="0"/>
                      <w:highlight w:val="none"/>
                    </w:rPr>
                    <w:t>/</w:t>
                  </w:r>
                </w:p>
              </w:tc>
              <w:tc>
                <w:tcPr>
                  <w:tcW w:w="432" w:type="pct"/>
                  <w:vAlign w:val="center"/>
                </w:tcPr>
                <w:p>
                  <w:pPr>
                    <w:widowControl/>
                    <w:jc w:val="center"/>
                    <w:textAlignment w:val="center"/>
                    <w:rPr>
                      <w:color w:val="auto"/>
                      <w:kern w:val="0"/>
                      <w:szCs w:val="21"/>
                      <w:highlight w:val="none"/>
                    </w:rPr>
                  </w:pPr>
                  <w:r>
                    <w:rPr>
                      <w:color w:val="auto"/>
                      <w:kern w:val="0"/>
                      <w:szCs w:val="21"/>
                      <w:highlight w:val="none"/>
                      <w:lang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67" w:type="pct"/>
                  <w:gridSpan w:val="4"/>
                  <w:vAlign w:val="center"/>
                </w:tcPr>
                <w:p>
                  <w:pPr>
                    <w:pStyle w:val="35"/>
                    <w:spacing w:line="240" w:lineRule="exact"/>
                    <w:rPr>
                      <w:color w:val="auto"/>
                      <w:kern w:val="0"/>
                      <w:highlight w:val="none"/>
                    </w:rPr>
                  </w:pPr>
                  <w:r>
                    <w:rPr>
                      <w:rFonts w:hint="eastAsia"/>
                      <w:color w:val="auto"/>
                      <w:kern w:val="0"/>
                      <w:highlight w:val="none"/>
                    </w:rPr>
                    <w:t>合计</w:t>
                  </w:r>
                </w:p>
              </w:tc>
              <w:tc>
                <w:tcPr>
                  <w:tcW w:w="432" w:type="pct"/>
                  <w:vAlign w:val="center"/>
                </w:tcPr>
                <w:p>
                  <w:pPr>
                    <w:widowControl/>
                    <w:jc w:val="center"/>
                    <w:textAlignment w:val="center"/>
                    <w:rPr>
                      <w:rFonts w:hint="default" w:eastAsia="宋体"/>
                      <w:color w:val="auto"/>
                      <w:kern w:val="0"/>
                      <w:szCs w:val="21"/>
                      <w:highlight w:val="none"/>
                      <w:lang w:val="en-US" w:eastAsia="zh-CN"/>
                    </w:rPr>
                  </w:pPr>
                </w:p>
              </w:tc>
            </w:tr>
          </w:tbl>
          <w:p>
            <w:pPr>
              <w:pStyle w:val="29"/>
              <w:rPr>
                <w:color w:val="auto"/>
                <w:highlight w:val="none"/>
              </w:rPr>
            </w:pPr>
          </w:p>
          <w:p>
            <w:pPr>
              <w:pStyle w:val="29"/>
              <w:rPr>
                <w:color w:val="auto"/>
                <w:highlight w:val="none"/>
              </w:rPr>
            </w:pPr>
          </w:p>
          <w:p>
            <w:pPr>
              <w:pStyle w:val="29"/>
              <w:rPr>
                <w:color w:val="auto"/>
                <w:highlight w:val="none"/>
              </w:rPr>
            </w:pPr>
          </w:p>
        </w:tc>
      </w:tr>
    </w:tbl>
    <w:p>
      <w:pPr>
        <w:pStyle w:val="14"/>
        <w:rPr>
          <w:color w:val="auto"/>
          <w:highlight w:val="none"/>
        </w:rPr>
        <w:sectPr>
          <w:pgSz w:w="11906" w:h="16838"/>
          <w:pgMar w:top="1417" w:right="1304" w:bottom="1304" w:left="1304" w:header="851" w:footer="992" w:gutter="0"/>
          <w:cols w:space="425" w:num="1"/>
          <w:docGrid w:type="lines" w:linePitch="312" w:charSpace="0"/>
        </w:sectPr>
      </w:pPr>
    </w:p>
    <w:p>
      <w:pPr>
        <w:pStyle w:val="16"/>
        <w:jc w:val="center"/>
        <w:outlineLvl w:val="0"/>
        <w:rPr>
          <w:rFonts w:hint="eastAsia" w:ascii="黑体" w:hAnsi="黑体" w:eastAsia="黑体"/>
          <w:snapToGrid w:val="0"/>
          <w:color w:val="auto"/>
          <w:sz w:val="30"/>
          <w:szCs w:val="30"/>
          <w:highlight w:val="none"/>
        </w:rPr>
      </w:pPr>
      <w:bookmarkStart w:id="29" w:name="_Toc11599"/>
      <w:r>
        <w:rPr>
          <w:rFonts w:hint="eastAsia" w:ascii="黑体" w:hAnsi="黑体" w:eastAsia="黑体"/>
          <w:snapToGrid w:val="0"/>
          <w:color w:val="auto"/>
          <w:sz w:val="30"/>
          <w:szCs w:val="30"/>
          <w:highlight w:val="none"/>
        </w:rPr>
        <w:t>五、</w:t>
      </w:r>
      <w:bookmarkStart w:id="30" w:name="_Hlk54167917"/>
      <w:r>
        <w:rPr>
          <w:rFonts w:hint="eastAsia" w:ascii="黑体" w:hAnsi="黑体" w:eastAsia="黑体"/>
          <w:snapToGrid w:val="0"/>
          <w:color w:val="auto"/>
          <w:sz w:val="30"/>
          <w:szCs w:val="30"/>
          <w:highlight w:val="none"/>
        </w:rPr>
        <w:t>环境保护措施监督检查清单</w:t>
      </w:r>
      <w:bookmarkEnd w:id="13"/>
      <w:bookmarkEnd w:id="29"/>
      <w:bookmarkEnd w:id="30"/>
    </w:p>
    <w:tbl>
      <w:tblPr>
        <w:tblStyle w:val="20"/>
        <w:tblW w:w="499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1677"/>
        <w:gridCol w:w="1380"/>
        <w:gridCol w:w="1971"/>
        <w:gridCol w:w="30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9" w:type="pct"/>
            <w:tcBorders>
              <w:tl2br w:val="single" w:color="auto" w:sz="4" w:space="0"/>
            </w:tcBorders>
            <w:vAlign w:val="center"/>
          </w:tcPr>
          <w:p>
            <w:pPr>
              <w:adjustRightInd w:val="0"/>
              <w:snapToGrid w:val="0"/>
              <w:ind w:firstLine="420" w:firstLineChars="200"/>
              <w:rPr>
                <w:color w:val="auto"/>
                <w:szCs w:val="21"/>
                <w:highlight w:val="none"/>
              </w:rPr>
            </w:pPr>
            <w:bookmarkStart w:id="31" w:name="_Toc21620"/>
            <w:r>
              <w:rPr>
                <w:color w:val="auto"/>
                <w:szCs w:val="21"/>
                <w:highlight w:val="none"/>
              </w:rPr>
              <w:t>内容</w:t>
            </w:r>
          </w:p>
          <w:p>
            <w:pPr>
              <w:adjustRightInd w:val="0"/>
              <w:snapToGrid w:val="0"/>
              <w:rPr>
                <w:color w:val="auto"/>
                <w:szCs w:val="21"/>
                <w:highlight w:val="none"/>
              </w:rPr>
            </w:pPr>
            <w:r>
              <w:rPr>
                <w:color w:val="auto"/>
                <w:szCs w:val="21"/>
                <w:highlight w:val="none"/>
              </w:rPr>
              <w:t>要素</w:t>
            </w:r>
          </w:p>
        </w:tc>
        <w:tc>
          <w:tcPr>
            <w:tcW w:w="882" w:type="pct"/>
            <w:vAlign w:val="center"/>
          </w:tcPr>
          <w:p>
            <w:pPr>
              <w:adjustRightInd w:val="0"/>
              <w:snapToGrid w:val="0"/>
              <w:jc w:val="center"/>
              <w:rPr>
                <w:color w:val="auto"/>
                <w:szCs w:val="21"/>
                <w:highlight w:val="none"/>
              </w:rPr>
            </w:pPr>
            <w:r>
              <w:rPr>
                <w:color w:val="auto"/>
                <w:szCs w:val="21"/>
                <w:highlight w:val="none"/>
              </w:rPr>
              <w:t>排放口</w:t>
            </w:r>
            <w:r>
              <w:rPr>
                <w:rFonts w:hint="eastAsia"/>
                <w:color w:val="auto"/>
                <w:szCs w:val="21"/>
                <w:highlight w:val="none"/>
              </w:rPr>
              <w:t>（</w:t>
            </w:r>
            <w:r>
              <w:rPr>
                <w:color w:val="auto"/>
                <w:szCs w:val="21"/>
                <w:highlight w:val="none"/>
              </w:rPr>
              <w:t>编号、名称</w:t>
            </w:r>
            <w:r>
              <w:rPr>
                <w:rFonts w:hint="eastAsia"/>
                <w:color w:val="auto"/>
                <w:szCs w:val="21"/>
                <w:highlight w:val="none"/>
              </w:rPr>
              <w:t>）</w:t>
            </w:r>
            <w:r>
              <w:rPr>
                <w:color w:val="auto"/>
                <w:szCs w:val="21"/>
                <w:highlight w:val="none"/>
              </w:rPr>
              <w:t>/污染源</w:t>
            </w:r>
          </w:p>
        </w:tc>
        <w:tc>
          <w:tcPr>
            <w:tcW w:w="726" w:type="pct"/>
            <w:vAlign w:val="center"/>
          </w:tcPr>
          <w:p>
            <w:pPr>
              <w:adjustRightInd w:val="0"/>
              <w:snapToGrid w:val="0"/>
              <w:jc w:val="center"/>
              <w:rPr>
                <w:color w:val="auto"/>
                <w:szCs w:val="21"/>
                <w:highlight w:val="none"/>
              </w:rPr>
            </w:pPr>
            <w:r>
              <w:rPr>
                <w:color w:val="auto"/>
                <w:szCs w:val="21"/>
                <w:highlight w:val="none"/>
              </w:rPr>
              <w:t>污染物项目</w:t>
            </w:r>
          </w:p>
        </w:tc>
        <w:tc>
          <w:tcPr>
            <w:tcW w:w="1037" w:type="pct"/>
            <w:vAlign w:val="center"/>
          </w:tcPr>
          <w:p>
            <w:pPr>
              <w:adjustRightInd w:val="0"/>
              <w:snapToGrid w:val="0"/>
              <w:jc w:val="center"/>
              <w:rPr>
                <w:color w:val="auto"/>
                <w:szCs w:val="21"/>
                <w:highlight w:val="none"/>
              </w:rPr>
            </w:pPr>
            <w:r>
              <w:rPr>
                <w:color w:val="auto"/>
                <w:szCs w:val="21"/>
                <w:highlight w:val="none"/>
              </w:rPr>
              <w:t>环境保护措施</w:t>
            </w:r>
          </w:p>
        </w:tc>
        <w:tc>
          <w:tcPr>
            <w:tcW w:w="1605" w:type="pct"/>
            <w:vAlign w:val="center"/>
          </w:tcPr>
          <w:p>
            <w:pPr>
              <w:adjustRightInd w:val="0"/>
              <w:snapToGrid w:val="0"/>
              <w:jc w:val="center"/>
              <w:rPr>
                <w:color w:val="auto"/>
                <w:szCs w:val="21"/>
                <w:highlight w:val="none"/>
              </w:rPr>
            </w:pPr>
            <w:r>
              <w:rPr>
                <w:color w:val="auto"/>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restart"/>
            <w:vAlign w:val="center"/>
          </w:tcPr>
          <w:p>
            <w:pPr>
              <w:adjustRightInd w:val="0"/>
              <w:snapToGrid w:val="0"/>
              <w:jc w:val="center"/>
              <w:rPr>
                <w:color w:val="auto"/>
                <w:szCs w:val="21"/>
                <w:highlight w:val="none"/>
              </w:rPr>
            </w:pPr>
            <w:r>
              <w:rPr>
                <w:color w:val="auto"/>
                <w:szCs w:val="21"/>
                <w:highlight w:val="none"/>
              </w:rPr>
              <w:t>大气环境</w:t>
            </w:r>
          </w:p>
        </w:tc>
        <w:tc>
          <w:tcPr>
            <w:tcW w:w="882" w:type="pct"/>
            <w:vAlign w:val="center"/>
          </w:tcPr>
          <w:p>
            <w:pPr>
              <w:adjustRightInd w:val="0"/>
              <w:snapToGrid w:val="0"/>
              <w:jc w:val="center"/>
              <w:rPr>
                <w:color w:val="auto"/>
                <w:szCs w:val="21"/>
                <w:highlight w:val="none"/>
              </w:rPr>
            </w:pPr>
            <w:r>
              <w:rPr>
                <w:rFonts w:hint="eastAsia"/>
                <w:color w:val="auto"/>
                <w:szCs w:val="21"/>
                <w:highlight w:val="none"/>
              </w:rPr>
              <w:t>码头卸船</w:t>
            </w:r>
          </w:p>
        </w:tc>
        <w:tc>
          <w:tcPr>
            <w:tcW w:w="726" w:type="pct"/>
            <w:vAlign w:val="center"/>
          </w:tcPr>
          <w:p>
            <w:pPr>
              <w:adjustRightInd w:val="0"/>
              <w:snapToGrid w:val="0"/>
              <w:jc w:val="center"/>
              <w:rPr>
                <w:color w:val="auto"/>
                <w:szCs w:val="21"/>
                <w:highlight w:val="none"/>
              </w:rPr>
            </w:pPr>
            <w:r>
              <w:rPr>
                <w:rFonts w:hint="eastAsia"/>
                <w:color w:val="auto"/>
                <w:szCs w:val="21"/>
                <w:highlight w:val="none"/>
              </w:rPr>
              <w:t>颗粒物</w:t>
            </w:r>
          </w:p>
        </w:tc>
        <w:tc>
          <w:tcPr>
            <w:tcW w:w="1037" w:type="pct"/>
            <w:vAlign w:val="center"/>
          </w:tcPr>
          <w:p>
            <w:pPr>
              <w:adjustRightInd w:val="0"/>
              <w:snapToGrid w:val="0"/>
              <w:jc w:val="center"/>
              <w:rPr>
                <w:bCs/>
                <w:color w:val="auto"/>
                <w:kern w:val="0"/>
                <w:szCs w:val="21"/>
                <w:highlight w:val="none"/>
              </w:rPr>
            </w:pPr>
            <w:r>
              <w:rPr>
                <w:rFonts w:hint="eastAsia"/>
                <w:bCs/>
                <w:color w:val="auto"/>
                <w:szCs w:val="21"/>
                <w:highlight w:val="none"/>
              </w:rPr>
              <w:t>/</w:t>
            </w:r>
          </w:p>
        </w:tc>
        <w:tc>
          <w:tcPr>
            <w:tcW w:w="1605"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Align w:val="center"/>
          </w:tcPr>
          <w:p>
            <w:pPr>
              <w:adjustRightInd w:val="0"/>
              <w:snapToGrid w:val="0"/>
              <w:jc w:val="center"/>
              <w:rPr>
                <w:color w:val="auto"/>
                <w:szCs w:val="21"/>
                <w:highlight w:val="none"/>
              </w:rPr>
            </w:pPr>
            <w:r>
              <w:rPr>
                <w:rFonts w:hint="eastAsia"/>
                <w:color w:val="auto"/>
                <w:szCs w:val="21"/>
                <w:highlight w:val="none"/>
              </w:rPr>
              <w:t>码头到本项目输送线</w:t>
            </w:r>
          </w:p>
        </w:tc>
        <w:tc>
          <w:tcPr>
            <w:tcW w:w="726" w:type="pct"/>
            <w:vAlign w:val="center"/>
          </w:tcPr>
          <w:p>
            <w:pPr>
              <w:adjustRightInd w:val="0"/>
              <w:snapToGrid w:val="0"/>
              <w:jc w:val="center"/>
              <w:rPr>
                <w:color w:val="auto"/>
                <w:szCs w:val="21"/>
                <w:highlight w:val="none"/>
              </w:rPr>
            </w:pPr>
            <w:r>
              <w:rPr>
                <w:rFonts w:hint="eastAsia"/>
                <w:color w:val="auto"/>
                <w:szCs w:val="21"/>
                <w:highlight w:val="none"/>
              </w:rPr>
              <w:t>颗粒物</w:t>
            </w:r>
          </w:p>
        </w:tc>
        <w:tc>
          <w:tcPr>
            <w:tcW w:w="1037" w:type="pct"/>
            <w:vAlign w:val="center"/>
          </w:tcPr>
          <w:p>
            <w:pPr>
              <w:adjustRightInd w:val="0"/>
              <w:snapToGrid w:val="0"/>
              <w:jc w:val="center"/>
              <w:rPr>
                <w:color w:val="auto"/>
                <w:szCs w:val="21"/>
                <w:highlight w:val="none"/>
              </w:rPr>
            </w:pPr>
            <w:r>
              <w:rPr>
                <w:rFonts w:hint="eastAsia"/>
                <w:bCs/>
                <w:color w:val="auto"/>
                <w:szCs w:val="21"/>
                <w:highlight w:val="none"/>
              </w:rPr>
              <w:t>散货采用皮带输送到</w:t>
            </w:r>
            <w:r>
              <w:rPr>
                <w:rFonts w:hint="eastAsia"/>
                <w:bCs/>
                <w:color w:val="auto"/>
                <w:szCs w:val="21"/>
                <w:highlight w:val="none"/>
                <w:lang w:val="en-US" w:eastAsia="zh-CN"/>
              </w:rPr>
              <w:t>M-9</w:t>
            </w:r>
            <w:r>
              <w:rPr>
                <w:rFonts w:hint="eastAsia"/>
                <w:bCs/>
                <w:color w:val="auto"/>
                <w:szCs w:val="21"/>
                <w:highlight w:val="none"/>
              </w:rPr>
              <w:t>#转运站</w:t>
            </w:r>
          </w:p>
        </w:tc>
        <w:tc>
          <w:tcPr>
            <w:tcW w:w="1605" w:type="pct"/>
            <w:vAlign w:val="center"/>
          </w:tcPr>
          <w:p>
            <w:pPr>
              <w:adjustRightInd w:val="0"/>
              <w:snapToGrid w:val="0"/>
              <w:jc w:val="center"/>
              <w:rPr>
                <w:color w:val="auto"/>
                <w:szCs w:val="21"/>
                <w:highlight w:val="none"/>
              </w:rPr>
            </w:pPr>
            <w:r>
              <w:rPr>
                <w:rFonts w:hint="eastAsia"/>
                <w:color w:val="auto"/>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Align w:val="center"/>
          </w:tcPr>
          <w:p>
            <w:pPr>
              <w:adjustRightInd w:val="0"/>
              <w:snapToGrid w:val="0"/>
              <w:jc w:val="center"/>
              <w:rPr>
                <w:color w:val="auto"/>
                <w:szCs w:val="21"/>
                <w:highlight w:val="none"/>
              </w:rPr>
            </w:pPr>
            <w:r>
              <w:rPr>
                <w:rFonts w:hint="eastAsia"/>
                <w:color w:val="auto"/>
                <w:szCs w:val="21"/>
                <w:highlight w:val="none"/>
              </w:rPr>
              <w:t>道路运输扬尘</w:t>
            </w:r>
          </w:p>
        </w:tc>
        <w:tc>
          <w:tcPr>
            <w:tcW w:w="726" w:type="pct"/>
            <w:vAlign w:val="center"/>
          </w:tcPr>
          <w:p>
            <w:pPr>
              <w:adjustRightInd w:val="0"/>
              <w:snapToGrid w:val="0"/>
              <w:jc w:val="center"/>
              <w:rPr>
                <w:color w:val="auto"/>
                <w:szCs w:val="21"/>
                <w:highlight w:val="none"/>
              </w:rPr>
            </w:pPr>
            <w:r>
              <w:rPr>
                <w:rFonts w:hint="eastAsia"/>
                <w:color w:val="auto"/>
                <w:szCs w:val="21"/>
                <w:highlight w:val="none"/>
              </w:rPr>
              <w:t>颗粒物</w:t>
            </w:r>
          </w:p>
        </w:tc>
        <w:tc>
          <w:tcPr>
            <w:tcW w:w="1037" w:type="pct"/>
            <w:vAlign w:val="center"/>
          </w:tcPr>
          <w:p>
            <w:pPr>
              <w:adjustRightInd w:val="0"/>
              <w:snapToGrid w:val="0"/>
              <w:jc w:val="center"/>
              <w:rPr>
                <w:bCs/>
                <w:color w:val="auto"/>
                <w:szCs w:val="21"/>
                <w:highlight w:val="none"/>
              </w:rPr>
            </w:pPr>
            <w:r>
              <w:rPr>
                <w:rFonts w:hint="eastAsia"/>
                <w:bCs/>
                <w:color w:val="auto"/>
                <w:szCs w:val="21"/>
                <w:highlight w:val="none"/>
              </w:rPr>
              <w:t>集装箱</w:t>
            </w:r>
            <w:r>
              <w:rPr>
                <w:rFonts w:hint="eastAsia"/>
                <w:bCs/>
                <w:color w:val="auto"/>
                <w:szCs w:val="21"/>
                <w:highlight w:val="none"/>
                <w:lang w:val="en-US" w:eastAsia="zh-CN"/>
              </w:rPr>
              <w:t>/吨袋</w:t>
            </w:r>
            <w:r>
              <w:rPr>
                <w:rFonts w:hint="eastAsia"/>
                <w:bCs/>
                <w:color w:val="auto"/>
                <w:szCs w:val="21"/>
                <w:highlight w:val="none"/>
              </w:rPr>
              <w:t>运输采取</w:t>
            </w:r>
            <w:r>
              <w:rPr>
                <w:rFonts w:hint="eastAsia"/>
                <w:bCs/>
                <w:color w:val="auto"/>
                <w:szCs w:val="21"/>
                <w:highlight w:val="none"/>
                <w:lang w:eastAsia="zh-CN"/>
              </w:rPr>
              <w:t>封闭</w:t>
            </w:r>
            <w:r>
              <w:rPr>
                <w:rFonts w:hint="eastAsia"/>
                <w:bCs/>
                <w:color w:val="auto"/>
                <w:szCs w:val="21"/>
                <w:highlight w:val="none"/>
              </w:rPr>
              <w:t>措施，道路硬化，洒水抑尘、运输车辆驶离厂区前冲洗车轮</w:t>
            </w:r>
          </w:p>
        </w:tc>
        <w:tc>
          <w:tcPr>
            <w:tcW w:w="1605" w:type="pct"/>
            <w:vAlign w:val="center"/>
          </w:tcPr>
          <w:p>
            <w:pPr>
              <w:adjustRightInd w:val="0"/>
              <w:snapToGrid w:val="0"/>
              <w:jc w:val="center"/>
              <w:rPr>
                <w:color w:val="auto"/>
                <w:szCs w:val="21"/>
                <w:highlight w:val="none"/>
              </w:rPr>
            </w:pPr>
            <w:r>
              <w:rPr>
                <w:rFonts w:hint="eastAsia"/>
                <w:color w:val="auto"/>
                <w:szCs w:val="21"/>
                <w:highlight w:val="none"/>
              </w:rPr>
              <w:t>《大气污染物综合排放标准》</w:t>
            </w:r>
          </w:p>
          <w:p>
            <w:pPr>
              <w:adjustRightInd w:val="0"/>
              <w:snapToGrid w:val="0"/>
              <w:jc w:val="center"/>
              <w:rPr>
                <w:color w:val="auto"/>
                <w:szCs w:val="21"/>
                <w:highlight w:val="none"/>
              </w:rPr>
            </w:pPr>
            <w:r>
              <w:rPr>
                <w:rFonts w:hint="eastAsia"/>
                <w:color w:val="auto"/>
                <w:szCs w:val="21"/>
                <w:highlight w:val="none"/>
              </w:rPr>
              <w:t>（GB16297-1996）表2无组织排放监控浓度限值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Align w:val="center"/>
          </w:tcPr>
          <w:p>
            <w:pPr>
              <w:adjustRightInd w:val="0"/>
              <w:snapToGrid w:val="0"/>
              <w:jc w:val="center"/>
              <w:rPr>
                <w:rFonts w:hint="eastAsia"/>
                <w:color w:val="auto"/>
                <w:szCs w:val="21"/>
                <w:highlight w:val="none"/>
              </w:rPr>
            </w:pPr>
            <w:r>
              <w:rPr>
                <w:rFonts w:hint="eastAsia"/>
                <w:color w:val="auto"/>
                <w:szCs w:val="21"/>
                <w:highlight w:val="none"/>
                <w:lang w:val="en-US" w:eastAsia="zh-CN"/>
              </w:rPr>
              <w:t>M-9#</w:t>
            </w:r>
            <w:r>
              <w:rPr>
                <w:rFonts w:hint="eastAsia"/>
                <w:color w:val="auto"/>
                <w:szCs w:val="21"/>
                <w:highlight w:val="none"/>
              </w:rPr>
              <w:t>转运站</w:t>
            </w:r>
            <w:r>
              <w:rPr>
                <w:rFonts w:hint="eastAsia"/>
                <w:color w:val="auto"/>
                <w:szCs w:val="21"/>
                <w:highlight w:val="none"/>
                <w:lang w:val="en-US" w:eastAsia="zh-CN"/>
              </w:rPr>
              <w:t>原料和成品转运过程</w:t>
            </w:r>
            <w:r>
              <w:rPr>
                <w:rFonts w:hint="eastAsia"/>
                <w:color w:val="auto"/>
                <w:szCs w:val="21"/>
                <w:highlight w:val="none"/>
              </w:rPr>
              <w:t>粉尘</w:t>
            </w:r>
            <w:r>
              <w:rPr>
                <w:rFonts w:hint="eastAsia"/>
                <w:color w:val="auto"/>
                <w:szCs w:val="21"/>
                <w:highlight w:val="none"/>
                <w:lang w:val="en-US" w:eastAsia="zh-CN"/>
              </w:rPr>
              <w:t>的除尘器出口</w:t>
            </w:r>
            <w:r>
              <w:rPr>
                <w:rFonts w:hint="eastAsia"/>
                <w:color w:val="auto"/>
                <w:szCs w:val="21"/>
                <w:highlight w:val="none"/>
              </w:rPr>
              <w:t>DA00</w:t>
            </w:r>
            <w:r>
              <w:rPr>
                <w:rFonts w:hint="eastAsia"/>
                <w:color w:val="auto"/>
                <w:szCs w:val="21"/>
                <w:highlight w:val="none"/>
                <w:lang w:val="en-US" w:eastAsia="zh-CN"/>
              </w:rPr>
              <w:t>1</w:t>
            </w:r>
          </w:p>
        </w:tc>
        <w:tc>
          <w:tcPr>
            <w:tcW w:w="726" w:type="pct"/>
            <w:vAlign w:val="center"/>
          </w:tcPr>
          <w:p>
            <w:pPr>
              <w:adjustRightInd w:val="0"/>
              <w:snapToGrid w:val="0"/>
              <w:jc w:val="center"/>
              <w:rPr>
                <w:rFonts w:hint="eastAsia"/>
                <w:color w:val="auto"/>
                <w:szCs w:val="21"/>
                <w:highlight w:val="none"/>
              </w:rPr>
            </w:pPr>
            <w:r>
              <w:rPr>
                <w:rFonts w:hint="eastAsia"/>
                <w:color w:val="auto"/>
                <w:szCs w:val="21"/>
                <w:highlight w:val="none"/>
                <w:lang w:val="en-US" w:eastAsia="zh-CN"/>
              </w:rPr>
              <w:t>颗粒物</w:t>
            </w:r>
          </w:p>
        </w:tc>
        <w:tc>
          <w:tcPr>
            <w:tcW w:w="1037" w:type="pct"/>
            <w:vAlign w:val="center"/>
          </w:tcPr>
          <w:p>
            <w:pPr>
              <w:adjustRightInd w:val="0"/>
              <w:snapToGrid w:val="0"/>
              <w:jc w:val="center"/>
              <w:rPr>
                <w:rFonts w:hint="eastAsia"/>
                <w:bCs/>
                <w:color w:val="auto"/>
                <w:szCs w:val="21"/>
                <w:highlight w:val="none"/>
              </w:rPr>
            </w:pP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DA001</w:t>
            </w:r>
            <w:r>
              <w:rPr>
                <w:rFonts w:hint="eastAsia"/>
                <w:color w:val="auto"/>
                <w:kern w:val="0"/>
                <w:szCs w:val="21"/>
                <w:highlight w:val="none"/>
                <w:lang w:eastAsia="zh-CN" w:bidi="ar"/>
              </w:rPr>
              <w:t>）</w:t>
            </w:r>
            <w:r>
              <w:rPr>
                <w:color w:val="auto"/>
                <w:kern w:val="0"/>
                <w:szCs w:val="21"/>
                <w:highlight w:val="none"/>
                <w:lang w:bidi="ar"/>
              </w:rPr>
              <w:t>排放</w:t>
            </w:r>
          </w:p>
        </w:tc>
        <w:tc>
          <w:tcPr>
            <w:tcW w:w="1605" w:type="pct"/>
            <w:vAlign w:val="center"/>
          </w:tcPr>
          <w:p>
            <w:pPr>
              <w:adjustRightInd w:val="0"/>
              <w:snapToGrid w:val="0"/>
              <w:jc w:val="center"/>
              <w:rPr>
                <w:color w:val="auto"/>
                <w:szCs w:val="21"/>
                <w:highlight w:val="none"/>
              </w:rPr>
            </w:pPr>
            <w:r>
              <w:rPr>
                <w:rFonts w:hint="eastAsia"/>
                <w:color w:val="auto"/>
                <w:szCs w:val="21"/>
                <w:highlight w:val="none"/>
              </w:rPr>
              <w:t>《大气污染物综合排放标准》</w:t>
            </w:r>
          </w:p>
          <w:p>
            <w:pPr>
              <w:adjustRightInd w:val="0"/>
              <w:snapToGrid w:val="0"/>
              <w:jc w:val="center"/>
              <w:rPr>
                <w:rFonts w:hint="eastAsia"/>
                <w:color w:val="auto"/>
                <w:szCs w:val="21"/>
                <w:highlight w:val="none"/>
              </w:rPr>
            </w:pPr>
            <w:r>
              <w:rPr>
                <w:rFonts w:hint="eastAsia"/>
                <w:color w:val="auto"/>
                <w:szCs w:val="21"/>
                <w:highlight w:val="none"/>
              </w:rPr>
              <w:t>（GB16297-1996）表2有组织排放监控浓度限值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Align w:val="center"/>
          </w:tcPr>
          <w:p>
            <w:pPr>
              <w:adjustRightInd w:val="0"/>
              <w:snapToGrid w:val="0"/>
              <w:jc w:val="center"/>
              <w:rPr>
                <w:rFonts w:hint="eastAsia"/>
                <w:color w:val="auto"/>
                <w:szCs w:val="21"/>
                <w:highlight w:val="none"/>
              </w:rPr>
            </w:pPr>
            <w:r>
              <w:rPr>
                <w:rFonts w:hint="eastAsia"/>
                <w:color w:val="auto"/>
                <w:szCs w:val="21"/>
                <w:highlight w:val="none"/>
                <w:lang w:val="en-US" w:eastAsia="zh-CN"/>
              </w:rPr>
              <w:t>卸矿站原料和成品转运过程</w:t>
            </w:r>
            <w:r>
              <w:rPr>
                <w:rFonts w:hint="eastAsia"/>
                <w:color w:val="auto"/>
                <w:szCs w:val="21"/>
                <w:highlight w:val="none"/>
              </w:rPr>
              <w:t>粉尘</w:t>
            </w:r>
            <w:r>
              <w:rPr>
                <w:rFonts w:hint="eastAsia"/>
                <w:color w:val="auto"/>
                <w:szCs w:val="21"/>
                <w:highlight w:val="none"/>
                <w:lang w:val="en-US" w:eastAsia="zh-CN"/>
              </w:rPr>
              <w:t>的除尘器出口</w:t>
            </w:r>
            <w:r>
              <w:rPr>
                <w:rFonts w:hint="eastAsia"/>
                <w:color w:val="auto"/>
                <w:szCs w:val="21"/>
                <w:highlight w:val="none"/>
              </w:rPr>
              <w:t>DA00</w:t>
            </w:r>
            <w:r>
              <w:rPr>
                <w:rFonts w:hint="eastAsia"/>
                <w:color w:val="auto"/>
                <w:szCs w:val="21"/>
                <w:highlight w:val="none"/>
                <w:lang w:val="en-US" w:eastAsia="zh-CN"/>
              </w:rPr>
              <w:t>2</w:t>
            </w:r>
          </w:p>
        </w:tc>
        <w:tc>
          <w:tcPr>
            <w:tcW w:w="726" w:type="pct"/>
            <w:vAlign w:val="center"/>
          </w:tcPr>
          <w:p>
            <w:pPr>
              <w:adjustRightInd w:val="0"/>
              <w:snapToGrid w:val="0"/>
              <w:jc w:val="center"/>
              <w:rPr>
                <w:rFonts w:hint="eastAsia"/>
                <w:color w:val="auto"/>
                <w:szCs w:val="21"/>
                <w:highlight w:val="none"/>
              </w:rPr>
            </w:pPr>
            <w:r>
              <w:rPr>
                <w:rFonts w:hint="eastAsia"/>
                <w:color w:val="auto"/>
                <w:szCs w:val="21"/>
                <w:highlight w:val="none"/>
                <w:lang w:val="en-US" w:eastAsia="zh-CN"/>
              </w:rPr>
              <w:t>颗粒物</w:t>
            </w:r>
          </w:p>
        </w:tc>
        <w:tc>
          <w:tcPr>
            <w:tcW w:w="1037" w:type="pct"/>
            <w:vAlign w:val="center"/>
          </w:tcPr>
          <w:p>
            <w:pPr>
              <w:adjustRightInd w:val="0"/>
              <w:snapToGrid w:val="0"/>
              <w:jc w:val="center"/>
              <w:rPr>
                <w:rFonts w:hint="eastAsia"/>
                <w:bCs/>
                <w:color w:val="auto"/>
                <w:szCs w:val="21"/>
                <w:highlight w:val="none"/>
              </w:rPr>
            </w:pP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DA002</w:t>
            </w:r>
            <w:r>
              <w:rPr>
                <w:rFonts w:hint="eastAsia"/>
                <w:color w:val="auto"/>
                <w:kern w:val="0"/>
                <w:szCs w:val="21"/>
                <w:highlight w:val="none"/>
                <w:lang w:eastAsia="zh-CN" w:bidi="ar"/>
              </w:rPr>
              <w:t>）</w:t>
            </w:r>
            <w:r>
              <w:rPr>
                <w:color w:val="auto"/>
                <w:kern w:val="0"/>
                <w:szCs w:val="21"/>
                <w:highlight w:val="none"/>
                <w:lang w:bidi="ar"/>
              </w:rPr>
              <w:t>排放</w:t>
            </w:r>
          </w:p>
        </w:tc>
        <w:tc>
          <w:tcPr>
            <w:tcW w:w="1605" w:type="pct"/>
            <w:vAlign w:val="center"/>
          </w:tcPr>
          <w:p>
            <w:pPr>
              <w:adjustRightInd w:val="0"/>
              <w:snapToGrid w:val="0"/>
              <w:jc w:val="center"/>
              <w:rPr>
                <w:color w:val="auto"/>
                <w:szCs w:val="21"/>
                <w:highlight w:val="none"/>
              </w:rPr>
            </w:pPr>
            <w:r>
              <w:rPr>
                <w:rFonts w:hint="eastAsia"/>
                <w:color w:val="auto"/>
                <w:szCs w:val="21"/>
                <w:highlight w:val="none"/>
              </w:rPr>
              <w:t>《大气污染物综合排放标准》</w:t>
            </w:r>
          </w:p>
          <w:p>
            <w:pPr>
              <w:adjustRightInd w:val="0"/>
              <w:snapToGrid w:val="0"/>
              <w:jc w:val="center"/>
              <w:rPr>
                <w:rFonts w:hint="eastAsia"/>
                <w:color w:val="auto"/>
                <w:szCs w:val="21"/>
                <w:highlight w:val="none"/>
              </w:rPr>
            </w:pPr>
            <w:r>
              <w:rPr>
                <w:rFonts w:hint="eastAsia"/>
                <w:color w:val="auto"/>
                <w:szCs w:val="21"/>
                <w:highlight w:val="none"/>
              </w:rPr>
              <w:t>（GB16297-1996）表2有组织排放监控浓度限值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1677" w:type="dxa"/>
            <w:vAlign w:val="center"/>
          </w:tcPr>
          <w:p>
            <w:pPr>
              <w:adjustRightInd w:val="0"/>
              <w:snapToGrid w:val="0"/>
              <w:jc w:val="center"/>
              <w:rPr>
                <w:color w:val="auto"/>
                <w:szCs w:val="21"/>
                <w:highlight w:val="none"/>
              </w:rPr>
            </w:pPr>
            <w:r>
              <w:rPr>
                <w:rFonts w:hint="eastAsia"/>
                <w:color w:val="auto"/>
                <w:szCs w:val="21"/>
                <w:highlight w:val="none"/>
                <w:lang w:val="en-US" w:eastAsia="zh-CN"/>
              </w:rPr>
              <w:t>卸矿站原料、成品</w:t>
            </w:r>
            <w:r>
              <w:rPr>
                <w:color w:val="auto"/>
                <w:szCs w:val="21"/>
                <w:highlight w:val="none"/>
              </w:rPr>
              <w:t>堆场</w:t>
            </w:r>
            <w:r>
              <w:rPr>
                <w:rFonts w:hint="eastAsia"/>
                <w:color w:val="auto"/>
                <w:szCs w:val="21"/>
                <w:highlight w:val="none"/>
                <w:lang w:val="en-US" w:eastAsia="zh-CN"/>
              </w:rPr>
              <w:t>装卸</w:t>
            </w:r>
            <w:r>
              <w:rPr>
                <w:color w:val="auto"/>
                <w:szCs w:val="21"/>
                <w:highlight w:val="none"/>
              </w:rPr>
              <w:t>扬尘</w:t>
            </w:r>
            <w:r>
              <w:rPr>
                <w:rFonts w:hint="eastAsia"/>
                <w:color w:val="auto"/>
                <w:szCs w:val="21"/>
                <w:highlight w:val="none"/>
                <w:lang w:eastAsia="zh-CN"/>
              </w:rPr>
              <w:t>，</w:t>
            </w:r>
            <w:r>
              <w:rPr>
                <w:rFonts w:hint="eastAsia"/>
                <w:color w:val="auto"/>
                <w:szCs w:val="21"/>
                <w:highlight w:val="none"/>
                <w:lang w:val="en-US" w:eastAsia="zh-CN"/>
              </w:rPr>
              <w:t>拆包、输送机</w:t>
            </w:r>
            <w:r>
              <w:rPr>
                <w:rFonts w:hint="eastAsia"/>
                <w:color w:val="auto"/>
                <w:szCs w:val="21"/>
                <w:highlight w:val="none"/>
              </w:rPr>
              <w:t>输送粉尘</w:t>
            </w:r>
          </w:p>
        </w:tc>
        <w:tc>
          <w:tcPr>
            <w:tcW w:w="1380" w:type="dxa"/>
            <w:vAlign w:val="center"/>
          </w:tcPr>
          <w:p>
            <w:pPr>
              <w:adjustRightInd w:val="0"/>
              <w:snapToGrid w:val="0"/>
              <w:jc w:val="center"/>
              <w:rPr>
                <w:color w:val="auto"/>
                <w:szCs w:val="21"/>
                <w:highlight w:val="none"/>
              </w:rPr>
            </w:pPr>
            <w:r>
              <w:rPr>
                <w:rFonts w:hint="eastAsia"/>
                <w:color w:val="auto"/>
                <w:szCs w:val="21"/>
                <w:highlight w:val="none"/>
              </w:rPr>
              <w:t>颗粒物</w:t>
            </w:r>
          </w:p>
        </w:tc>
        <w:tc>
          <w:tcPr>
            <w:tcW w:w="1971" w:type="dxa"/>
            <w:vAlign w:val="center"/>
          </w:tcPr>
          <w:p>
            <w:pPr>
              <w:adjustRightInd w:val="0"/>
              <w:snapToGrid w:val="0"/>
              <w:jc w:val="center"/>
              <w:rPr>
                <w:bCs/>
                <w:color w:val="auto"/>
                <w:szCs w:val="21"/>
                <w:highlight w:val="none"/>
              </w:rPr>
            </w:pPr>
            <w:r>
              <w:rPr>
                <w:rFonts w:hint="eastAsia"/>
                <w:color w:val="auto"/>
                <w:kern w:val="0"/>
                <w:szCs w:val="21"/>
                <w:highlight w:val="none"/>
                <w:lang w:bidi="ar"/>
              </w:rPr>
              <w:t>智能高压喷雾抑尘装置，对装卸粉尘进行喷雾降尘</w:t>
            </w:r>
            <w:r>
              <w:rPr>
                <w:rFonts w:hint="eastAsia"/>
                <w:color w:val="auto"/>
                <w:kern w:val="0"/>
                <w:szCs w:val="21"/>
                <w:highlight w:val="none"/>
                <w:lang w:eastAsia="zh-CN" w:bidi="ar"/>
              </w:rPr>
              <w:t>；</w:t>
            </w:r>
            <w:r>
              <w:rPr>
                <w:rFonts w:hint="eastAsia"/>
                <w:color w:val="auto"/>
                <w:kern w:val="0"/>
                <w:szCs w:val="21"/>
                <w:highlight w:val="none"/>
                <w:lang w:bidi="ar"/>
              </w:rPr>
              <w:t>封闭车间沉降</w:t>
            </w:r>
          </w:p>
        </w:tc>
        <w:tc>
          <w:tcPr>
            <w:tcW w:w="1605" w:type="pct"/>
            <w:vMerge w:val="restart"/>
            <w:vAlign w:val="center"/>
          </w:tcPr>
          <w:p>
            <w:pPr>
              <w:adjustRightInd w:val="0"/>
              <w:snapToGrid w:val="0"/>
              <w:jc w:val="center"/>
              <w:rPr>
                <w:color w:val="auto"/>
                <w:szCs w:val="21"/>
                <w:highlight w:val="none"/>
              </w:rPr>
            </w:pPr>
            <w:r>
              <w:rPr>
                <w:rFonts w:hint="eastAsia"/>
                <w:color w:val="auto"/>
                <w:szCs w:val="21"/>
                <w:highlight w:val="none"/>
              </w:rPr>
              <w:t>《大气污染物综合排放标准》</w:t>
            </w:r>
          </w:p>
          <w:p>
            <w:pPr>
              <w:adjustRightInd w:val="0"/>
              <w:snapToGrid w:val="0"/>
              <w:jc w:val="center"/>
              <w:rPr>
                <w:color w:val="auto"/>
                <w:szCs w:val="21"/>
                <w:highlight w:val="none"/>
              </w:rPr>
            </w:pPr>
            <w:r>
              <w:rPr>
                <w:rFonts w:hint="eastAsia"/>
                <w:color w:val="auto"/>
                <w:szCs w:val="21"/>
                <w:highlight w:val="none"/>
              </w:rPr>
              <w:t>（GB16297-1996）表2无组织排放监控浓度限值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1677" w:type="dxa"/>
            <w:vAlign w:val="center"/>
          </w:tcPr>
          <w:p>
            <w:pPr>
              <w:adjustRightInd w:val="0"/>
              <w:snapToGrid w:val="0"/>
              <w:jc w:val="center"/>
              <w:rPr>
                <w:color w:val="auto"/>
                <w:szCs w:val="21"/>
                <w:highlight w:val="none"/>
              </w:rPr>
            </w:pPr>
            <w:r>
              <w:rPr>
                <w:rFonts w:hint="eastAsia"/>
                <w:color w:val="auto"/>
                <w:szCs w:val="21"/>
                <w:highlight w:val="none"/>
                <w:lang w:val="en-US" w:eastAsia="zh-CN"/>
              </w:rPr>
              <w:t>混矿库</w:t>
            </w:r>
            <w:r>
              <w:rPr>
                <w:rFonts w:hint="eastAsia"/>
                <w:color w:val="auto"/>
                <w:szCs w:val="21"/>
                <w:highlight w:val="none"/>
              </w:rPr>
              <w:t>上</w:t>
            </w:r>
            <w:r>
              <w:rPr>
                <w:color w:val="auto"/>
                <w:szCs w:val="21"/>
                <w:highlight w:val="none"/>
              </w:rPr>
              <w:t>料、落料粉尘</w:t>
            </w:r>
            <w:r>
              <w:rPr>
                <w:rFonts w:hint="eastAsia"/>
                <w:color w:val="auto"/>
                <w:szCs w:val="21"/>
                <w:highlight w:val="none"/>
                <w:lang w:eastAsia="zh-CN"/>
              </w:rPr>
              <w:t>，</w:t>
            </w:r>
            <w:r>
              <w:rPr>
                <w:rFonts w:hint="eastAsia"/>
                <w:color w:val="auto"/>
                <w:szCs w:val="21"/>
                <w:highlight w:val="none"/>
                <w:lang w:val="en-US" w:eastAsia="zh-CN"/>
              </w:rPr>
              <w:t>输送机</w:t>
            </w:r>
            <w:r>
              <w:rPr>
                <w:rFonts w:hint="eastAsia"/>
                <w:color w:val="auto"/>
                <w:szCs w:val="21"/>
                <w:highlight w:val="none"/>
              </w:rPr>
              <w:t>输送粉尘</w:t>
            </w:r>
            <w:r>
              <w:rPr>
                <w:rFonts w:hint="eastAsia"/>
                <w:color w:val="auto"/>
                <w:szCs w:val="21"/>
                <w:highlight w:val="none"/>
                <w:lang w:eastAsia="zh-CN"/>
              </w:rPr>
              <w:t>，</w:t>
            </w:r>
            <w:r>
              <w:rPr>
                <w:rFonts w:hint="eastAsia"/>
                <w:color w:val="auto"/>
                <w:szCs w:val="21"/>
                <w:highlight w:val="none"/>
                <w:lang w:val="en-US" w:eastAsia="zh-CN"/>
              </w:rPr>
              <w:t>原料、成品堆场粉尘</w:t>
            </w:r>
          </w:p>
        </w:tc>
        <w:tc>
          <w:tcPr>
            <w:tcW w:w="1380" w:type="dxa"/>
            <w:vAlign w:val="center"/>
          </w:tcPr>
          <w:p>
            <w:pPr>
              <w:adjustRightInd w:val="0"/>
              <w:snapToGrid w:val="0"/>
              <w:jc w:val="center"/>
              <w:rPr>
                <w:color w:val="auto"/>
                <w:szCs w:val="21"/>
                <w:highlight w:val="none"/>
              </w:rPr>
            </w:pPr>
            <w:r>
              <w:rPr>
                <w:rFonts w:hint="eastAsia"/>
                <w:color w:val="auto"/>
                <w:szCs w:val="21"/>
                <w:highlight w:val="none"/>
              </w:rPr>
              <w:t>颗粒物</w:t>
            </w:r>
          </w:p>
        </w:tc>
        <w:tc>
          <w:tcPr>
            <w:tcW w:w="1971" w:type="dxa"/>
            <w:vAlign w:val="center"/>
          </w:tcPr>
          <w:p>
            <w:pPr>
              <w:adjustRightInd w:val="0"/>
              <w:snapToGrid w:val="0"/>
              <w:jc w:val="center"/>
              <w:rPr>
                <w:color w:val="auto"/>
                <w:kern w:val="0"/>
                <w:szCs w:val="21"/>
                <w:highlight w:val="none"/>
                <w:lang w:bidi="ar"/>
              </w:rPr>
            </w:pPr>
            <w:r>
              <w:rPr>
                <w:rFonts w:hint="eastAsia"/>
                <w:color w:val="auto"/>
                <w:kern w:val="0"/>
                <w:szCs w:val="21"/>
                <w:highlight w:val="none"/>
                <w:lang w:bidi="ar"/>
              </w:rPr>
              <w:t>智能高压喷雾抑尘装置，对装卸扬尘进行喷雾降尘</w:t>
            </w:r>
            <w:r>
              <w:rPr>
                <w:rFonts w:hint="eastAsia"/>
                <w:color w:val="auto"/>
                <w:kern w:val="0"/>
                <w:szCs w:val="21"/>
                <w:highlight w:val="none"/>
                <w:lang w:eastAsia="zh-CN" w:bidi="ar"/>
              </w:rPr>
              <w:t>；</w:t>
            </w:r>
            <w:r>
              <w:rPr>
                <w:rFonts w:hint="eastAsia"/>
                <w:color w:val="auto"/>
                <w:kern w:val="0"/>
                <w:szCs w:val="21"/>
                <w:highlight w:val="none"/>
                <w:lang w:bidi="ar"/>
              </w:rPr>
              <w:t>封闭车间沉降</w:t>
            </w: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749" w:type="pct"/>
            <w:vMerge w:val="continue"/>
            <w:vAlign w:val="center"/>
          </w:tcPr>
          <w:p>
            <w:pPr>
              <w:adjustRightInd w:val="0"/>
              <w:snapToGrid w:val="0"/>
              <w:jc w:val="center"/>
              <w:rPr>
                <w:color w:val="auto"/>
                <w:szCs w:val="21"/>
                <w:highlight w:val="none"/>
              </w:rPr>
            </w:pPr>
          </w:p>
        </w:tc>
        <w:tc>
          <w:tcPr>
            <w:tcW w:w="1677" w:type="dxa"/>
            <w:vAlign w:val="center"/>
          </w:tcPr>
          <w:p>
            <w:pPr>
              <w:adjustRightInd w:val="0"/>
              <w:snapToGrid w:val="0"/>
              <w:jc w:val="center"/>
              <w:rPr>
                <w:color w:val="auto"/>
                <w:szCs w:val="21"/>
                <w:highlight w:val="none"/>
              </w:rPr>
            </w:pPr>
            <w:r>
              <w:rPr>
                <w:rFonts w:hint="eastAsia"/>
                <w:color w:val="auto"/>
                <w:szCs w:val="21"/>
                <w:highlight w:val="none"/>
                <w:lang w:val="en-US" w:eastAsia="zh-CN"/>
              </w:rPr>
              <w:t>混矿库S-2~6、S-9、S-14号等输送机卸料点及西侧配料皮带秤卸料点粉尘的除尘器出口</w:t>
            </w:r>
            <w:r>
              <w:rPr>
                <w:rFonts w:hint="eastAsia"/>
                <w:color w:val="auto"/>
                <w:szCs w:val="21"/>
                <w:highlight w:val="none"/>
              </w:rPr>
              <w:t>DA00</w:t>
            </w:r>
            <w:r>
              <w:rPr>
                <w:rFonts w:hint="eastAsia"/>
                <w:color w:val="auto"/>
                <w:szCs w:val="21"/>
                <w:highlight w:val="none"/>
                <w:lang w:val="en-US" w:eastAsia="zh-CN"/>
              </w:rPr>
              <w:t>3</w:t>
            </w:r>
          </w:p>
        </w:tc>
        <w:tc>
          <w:tcPr>
            <w:tcW w:w="1380" w:type="dxa"/>
            <w:vAlign w:val="center"/>
          </w:tcPr>
          <w:p>
            <w:pPr>
              <w:adjustRightInd w:val="0"/>
              <w:snapToGrid w:val="0"/>
              <w:jc w:val="center"/>
              <w:rPr>
                <w:color w:val="auto"/>
                <w:szCs w:val="21"/>
                <w:highlight w:val="none"/>
              </w:rPr>
            </w:pPr>
            <w:r>
              <w:rPr>
                <w:rFonts w:hint="eastAsia"/>
                <w:color w:val="auto"/>
                <w:szCs w:val="21"/>
                <w:highlight w:val="none"/>
              </w:rPr>
              <w:t>颗粒物</w:t>
            </w:r>
          </w:p>
        </w:tc>
        <w:tc>
          <w:tcPr>
            <w:tcW w:w="1971" w:type="dxa"/>
            <w:vAlign w:val="center"/>
          </w:tcPr>
          <w:p>
            <w:pPr>
              <w:widowControl/>
              <w:jc w:val="center"/>
              <w:textAlignment w:val="center"/>
              <w:rPr>
                <w:bCs/>
                <w:color w:val="auto"/>
                <w:szCs w:val="21"/>
                <w:highlight w:val="none"/>
              </w:rPr>
            </w:pPr>
            <w:r>
              <w:rPr>
                <w:rFonts w:hint="eastAsia"/>
                <w:color w:val="auto"/>
                <w:kern w:val="0"/>
                <w:szCs w:val="21"/>
                <w:highlight w:val="none"/>
                <w:lang w:bidi="ar"/>
              </w:rPr>
              <w:t>负压集气</w:t>
            </w: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DA003</w:t>
            </w:r>
            <w:r>
              <w:rPr>
                <w:rFonts w:hint="eastAsia"/>
                <w:color w:val="auto"/>
                <w:kern w:val="0"/>
                <w:szCs w:val="21"/>
                <w:highlight w:val="none"/>
                <w:lang w:eastAsia="zh-CN" w:bidi="ar"/>
              </w:rPr>
              <w:t>）</w:t>
            </w:r>
            <w:r>
              <w:rPr>
                <w:color w:val="auto"/>
                <w:kern w:val="0"/>
                <w:szCs w:val="21"/>
                <w:highlight w:val="none"/>
                <w:lang w:bidi="ar"/>
              </w:rPr>
              <w:t>排放</w:t>
            </w:r>
            <w:r>
              <w:rPr>
                <w:rFonts w:hint="eastAsia"/>
                <w:color w:val="auto"/>
                <w:kern w:val="0"/>
                <w:szCs w:val="21"/>
                <w:highlight w:val="none"/>
                <w:lang w:bidi="ar"/>
              </w:rPr>
              <w:t>，</w:t>
            </w:r>
            <w:r>
              <w:rPr>
                <w:color w:val="auto"/>
                <w:kern w:val="0"/>
                <w:szCs w:val="21"/>
                <w:highlight w:val="none"/>
                <w:lang w:bidi="ar"/>
              </w:rPr>
              <w:t>喷雾降尘，封闭车间沉降</w:t>
            </w:r>
          </w:p>
        </w:tc>
        <w:tc>
          <w:tcPr>
            <w:tcW w:w="1605" w:type="pct"/>
            <w:vMerge w:val="restart"/>
            <w:vAlign w:val="center"/>
          </w:tcPr>
          <w:p>
            <w:pPr>
              <w:adjustRightInd w:val="0"/>
              <w:snapToGrid w:val="0"/>
              <w:jc w:val="center"/>
              <w:rPr>
                <w:color w:val="auto"/>
                <w:szCs w:val="21"/>
                <w:highlight w:val="none"/>
              </w:rPr>
            </w:pPr>
            <w:r>
              <w:rPr>
                <w:rFonts w:hint="eastAsia"/>
                <w:color w:val="auto"/>
                <w:szCs w:val="21"/>
                <w:highlight w:val="none"/>
              </w:rPr>
              <w:t>《大气污染物综合排放标准》</w:t>
            </w:r>
          </w:p>
          <w:p>
            <w:pPr>
              <w:adjustRightInd w:val="0"/>
              <w:snapToGrid w:val="0"/>
              <w:jc w:val="center"/>
              <w:rPr>
                <w:color w:val="auto"/>
                <w:szCs w:val="21"/>
                <w:highlight w:val="none"/>
              </w:rPr>
            </w:pPr>
            <w:r>
              <w:rPr>
                <w:rFonts w:hint="eastAsia"/>
                <w:color w:val="auto"/>
                <w:szCs w:val="21"/>
                <w:highlight w:val="none"/>
              </w:rPr>
              <w:t>（GB16297-1996）表2有组织排放监控浓度限值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49" w:type="pct"/>
            <w:vMerge w:val="continue"/>
            <w:vAlign w:val="center"/>
          </w:tcPr>
          <w:p>
            <w:pPr>
              <w:adjustRightInd w:val="0"/>
              <w:snapToGrid w:val="0"/>
              <w:jc w:val="center"/>
              <w:rPr>
                <w:color w:val="auto"/>
                <w:szCs w:val="21"/>
                <w:highlight w:val="none"/>
              </w:rPr>
            </w:pPr>
          </w:p>
        </w:tc>
        <w:tc>
          <w:tcPr>
            <w:tcW w:w="1677" w:type="dxa"/>
            <w:vAlign w:val="center"/>
          </w:tcPr>
          <w:p>
            <w:pPr>
              <w:adjustRightInd w:val="0"/>
              <w:snapToGrid w:val="0"/>
              <w:jc w:val="center"/>
              <w:rPr>
                <w:color w:val="auto"/>
                <w:szCs w:val="21"/>
                <w:highlight w:val="none"/>
              </w:rPr>
            </w:pPr>
            <w:r>
              <w:rPr>
                <w:rFonts w:hint="default"/>
                <w:color w:val="auto"/>
                <w:szCs w:val="21"/>
                <w:highlight w:val="none"/>
                <w:lang w:val="en-US" w:eastAsia="zh-CN"/>
              </w:rPr>
              <w:t>4#胶带输送机，混矿库S-1、S-7~8、S-10、S-15等输送机卸料点及东侧配料皮带秤卸料点</w:t>
            </w:r>
            <w:r>
              <w:rPr>
                <w:rFonts w:hint="eastAsia"/>
                <w:color w:val="auto"/>
                <w:szCs w:val="21"/>
                <w:highlight w:val="none"/>
                <w:lang w:val="en-US" w:eastAsia="zh-CN"/>
              </w:rPr>
              <w:t>粉尘的除尘器出口</w:t>
            </w:r>
            <w:r>
              <w:rPr>
                <w:rFonts w:hint="eastAsia"/>
                <w:color w:val="auto"/>
                <w:szCs w:val="21"/>
                <w:highlight w:val="none"/>
              </w:rPr>
              <w:t>DA00</w:t>
            </w:r>
            <w:r>
              <w:rPr>
                <w:rFonts w:hint="eastAsia"/>
                <w:color w:val="auto"/>
                <w:szCs w:val="21"/>
                <w:highlight w:val="none"/>
                <w:lang w:val="en-US" w:eastAsia="zh-CN"/>
              </w:rPr>
              <w:t>4</w:t>
            </w:r>
          </w:p>
        </w:tc>
        <w:tc>
          <w:tcPr>
            <w:tcW w:w="1380" w:type="dxa"/>
            <w:vAlign w:val="center"/>
          </w:tcPr>
          <w:p>
            <w:pPr>
              <w:adjustRightInd w:val="0"/>
              <w:snapToGrid w:val="0"/>
              <w:jc w:val="center"/>
              <w:rPr>
                <w:color w:val="auto"/>
                <w:szCs w:val="21"/>
                <w:highlight w:val="none"/>
              </w:rPr>
            </w:pPr>
            <w:r>
              <w:rPr>
                <w:rFonts w:hint="eastAsia"/>
                <w:color w:val="auto"/>
                <w:szCs w:val="21"/>
                <w:highlight w:val="none"/>
              </w:rPr>
              <w:t>颗粒物</w:t>
            </w:r>
          </w:p>
        </w:tc>
        <w:tc>
          <w:tcPr>
            <w:tcW w:w="1971" w:type="dxa"/>
            <w:vAlign w:val="center"/>
          </w:tcPr>
          <w:p>
            <w:pPr>
              <w:adjustRightInd w:val="0"/>
              <w:snapToGrid w:val="0"/>
              <w:jc w:val="center"/>
              <w:rPr>
                <w:bCs/>
                <w:color w:val="auto"/>
                <w:kern w:val="0"/>
                <w:szCs w:val="21"/>
                <w:highlight w:val="none"/>
              </w:rPr>
            </w:pPr>
            <w:r>
              <w:rPr>
                <w:rFonts w:hint="eastAsia"/>
                <w:color w:val="auto"/>
                <w:kern w:val="0"/>
                <w:szCs w:val="21"/>
                <w:highlight w:val="none"/>
                <w:lang w:bidi="ar"/>
              </w:rPr>
              <w:t>负压集气</w:t>
            </w:r>
            <w:r>
              <w:rPr>
                <w:color w:val="auto"/>
                <w:kern w:val="0"/>
                <w:szCs w:val="21"/>
                <w:highlight w:val="none"/>
                <w:lang w:bidi="ar"/>
              </w:rPr>
              <w:t>+塑烧板除尘器+15m高排气筒</w:t>
            </w:r>
            <w:r>
              <w:rPr>
                <w:rFonts w:hint="eastAsia"/>
                <w:color w:val="auto"/>
                <w:kern w:val="0"/>
                <w:szCs w:val="21"/>
                <w:highlight w:val="none"/>
                <w:lang w:eastAsia="zh-CN" w:bidi="ar"/>
              </w:rPr>
              <w:t>（</w:t>
            </w:r>
            <w:r>
              <w:rPr>
                <w:rFonts w:hint="eastAsia"/>
                <w:color w:val="auto"/>
                <w:kern w:val="0"/>
                <w:szCs w:val="21"/>
                <w:highlight w:val="none"/>
                <w:lang w:val="en-US" w:eastAsia="zh-CN" w:bidi="ar"/>
              </w:rPr>
              <w:t>DA004</w:t>
            </w:r>
            <w:r>
              <w:rPr>
                <w:rFonts w:hint="eastAsia"/>
                <w:color w:val="auto"/>
                <w:kern w:val="0"/>
                <w:szCs w:val="21"/>
                <w:highlight w:val="none"/>
                <w:lang w:eastAsia="zh-CN" w:bidi="ar"/>
              </w:rPr>
              <w:t>）</w:t>
            </w:r>
            <w:r>
              <w:rPr>
                <w:color w:val="auto"/>
                <w:kern w:val="0"/>
                <w:szCs w:val="21"/>
                <w:highlight w:val="none"/>
                <w:lang w:bidi="ar"/>
              </w:rPr>
              <w:t>排放</w:t>
            </w:r>
            <w:r>
              <w:rPr>
                <w:rFonts w:hint="eastAsia"/>
                <w:color w:val="auto"/>
                <w:kern w:val="0"/>
                <w:szCs w:val="21"/>
                <w:highlight w:val="none"/>
                <w:lang w:bidi="ar"/>
              </w:rPr>
              <w:t>，</w:t>
            </w:r>
            <w:r>
              <w:rPr>
                <w:color w:val="auto"/>
                <w:kern w:val="0"/>
                <w:szCs w:val="21"/>
                <w:highlight w:val="none"/>
                <w:lang w:bidi="ar"/>
              </w:rPr>
              <w:t>喷雾降尘，封闭车间沉降</w:t>
            </w: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49" w:type="pct"/>
            <w:vMerge w:val="restart"/>
            <w:vAlign w:val="center"/>
          </w:tcPr>
          <w:p>
            <w:pPr>
              <w:adjustRightInd w:val="0"/>
              <w:snapToGrid w:val="0"/>
              <w:jc w:val="center"/>
              <w:rPr>
                <w:color w:val="auto"/>
                <w:szCs w:val="21"/>
                <w:highlight w:val="none"/>
              </w:rPr>
            </w:pPr>
            <w:r>
              <w:rPr>
                <w:color w:val="auto"/>
                <w:szCs w:val="21"/>
                <w:highlight w:val="none"/>
              </w:rPr>
              <w:t>地表水环境</w:t>
            </w:r>
          </w:p>
        </w:tc>
        <w:tc>
          <w:tcPr>
            <w:tcW w:w="882" w:type="pct"/>
            <w:vMerge w:val="restart"/>
            <w:vAlign w:val="center"/>
          </w:tcPr>
          <w:p>
            <w:pPr>
              <w:adjustRightInd w:val="0"/>
              <w:snapToGrid w:val="0"/>
              <w:jc w:val="center"/>
              <w:rPr>
                <w:color w:val="auto"/>
                <w:szCs w:val="21"/>
                <w:highlight w:val="none"/>
              </w:rPr>
            </w:pPr>
            <w:r>
              <w:rPr>
                <w:rFonts w:hint="eastAsia"/>
                <w:color w:val="auto"/>
                <w:szCs w:val="21"/>
                <w:highlight w:val="none"/>
              </w:rPr>
              <w:t>W1 生产废水</w:t>
            </w: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COD</w:t>
            </w:r>
          </w:p>
        </w:tc>
        <w:tc>
          <w:tcPr>
            <w:tcW w:w="1037" w:type="pct"/>
            <w:vMerge w:val="restart"/>
            <w:vAlign w:val="center"/>
          </w:tcPr>
          <w:p>
            <w:pPr>
              <w:adjustRightInd w:val="0"/>
              <w:snapToGrid w:val="0"/>
              <w:jc w:val="center"/>
              <w:rPr>
                <w:color w:val="auto"/>
                <w:szCs w:val="21"/>
                <w:highlight w:val="none"/>
              </w:rPr>
            </w:pPr>
            <w:r>
              <w:rPr>
                <w:rFonts w:hint="eastAsia"/>
                <w:color w:val="auto"/>
                <w:szCs w:val="21"/>
                <w:highlight w:val="none"/>
              </w:rPr>
              <w:t>采用“混凝沉淀+过滤”工艺处理后回用</w:t>
            </w:r>
          </w:p>
        </w:tc>
        <w:tc>
          <w:tcPr>
            <w:tcW w:w="1605" w:type="pct"/>
            <w:vMerge w:val="restart"/>
            <w:vAlign w:val="center"/>
          </w:tcPr>
          <w:p>
            <w:pPr>
              <w:adjustRightInd w:val="0"/>
              <w:snapToGrid w:val="0"/>
              <w:jc w:val="center"/>
              <w:rPr>
                <w:color w:val="auto"/>
                <w:szCs w:val="21"/>
                <w:highlight w:val="none"/>
              </w:rPr>
            </w:pPr>
            <w:r>
              <w:rPr>
                <w:rFonts w:hint="eastAsia"/>
                <w:color w:val="auto"/>
                <w:szCs w:val="21"/>
                <w:highlight w:val="none"/>
              </w:rPr>
              <w:t>全部回用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悬浮物</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石油类</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铜精矿</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restart"/>
            <w:vAlign w:val="center"/>
          </w:tcPr>
          <w:p>
            <w:pPr>
              <w:adjustRightInd w:val="0"/>
              <w:snapToGrid w:val="0"/>
              <w:jc w:val="center"/>
              <w:rPr>
                <w:color w:val="auto"/>
                <w:szCs w:val="21"/>
                <w:highlight w:val="none"/>
              </w:rPr>
            </w:pPr>
            <w:r>
              <w:rPr>
                <w:rFonts w:hint="eastAsia"/>
                <w:color w:val="auto"/>
                <w:szCs w:val="21"/>
                <w:highlight w:val="none"/>
              </w:rPr>
              <w:t>W2 生活污水</w:t>
            </w:r>
          </w:p>
        </w:tc>
        <w:tc>
          <w:tcPr>
            <w:tcW w:w="726" w:type="pct"/>
            <w:vAlign w:val="center"/>
          </w:tcPr>
          <w:p>
            <w:pPr>
              <w:pStyle w:val="32"/>
              <w:spacing w:line="240" w:lineRule="auto"/>
              <w:ind w:firstLine="0" w:firstLineChars="0"/>
              <w:jc w:val="center"/>
              <w:rPr>
                <w:color w:val="auto"/>
                <w:sz w:val="21"/>
                <w:szCs w:val="21"/>
                <w:highlight w:val="none"/>
              </w:rPr>
            </w:pPr>
            <w:r>
              <w:rPr>
                <w:color w:val="auto"/>
                <w:sz w:val="21"/>
                <w:szCs w:val="21"/>
                <w:highlight w:val="none"/>
              </w:rPr>
              <w:t>BOD</w:t>
            </w:r>
            <w:r>
              <w:rPr>
                <w:color w:val="auto"/>
                <w:sz w:val="21"/>
                <w:szCs w:val="21"/>
                <w:highlight w:val="none"/>
                <w:vertAlign w:val="subscript"/>
              </w:rPr>
              <w:t>5</w:t>
            </w:r>
          </w:p>
        </w:tc>
        <w:tc>
          <w:tcPr>
            <w:tcW w:w="1037" w:type="pct"/>
            <w:vMerge w:val="restart"/>
            <w:vAlign w:val="center"/>
          </w:tcPr>
          <w:p>
            <w:pPr>
              <w:adjustRightInd w:val="0"/>
              <w:snapToGrid w:val="0"/>
              <w:jc w:val="center"/>
              <w:rPr>
                <w:color w:val="auto"/>
                <w:szCs w:val="21"/>
                <w:highlight w:val="none"/>
              </w:rPr>
            </w:pPr>
            <w:r>
              <w:rPr>
                <w:rFonts w:hint="eastAsia"/>
                <w:color w:val="auto"/>
                <w:szCs w:val="21"/>
                <w:highlight w:val="none"/>
              </w:rPr>
              <w:t>化粪池处理后达标后排入漳湾临港工业区临时一体化污水处理厂</w:t>
            </w:r>
          </w:p>
        </w:tc>
        <w:tc>
          <w:tcPr>
            <w:tcW w:w="1605" w:type="pct"/>
            <w:vMerge w:val="restart"/>
            <w:vAlign w:val="center"/>
          </w:tcPr>
          <w:p>
            <w:pPr>
              <w:adjustRightInd w:val="0"/>
              <w:snapToGrid w:val="0"/>
              <w:jc w:val="center"/>
              <w:rPr>
                <w:color w:val="auto"/>
                <w:szCs w:val="21"/>
                <w:highlight w:val="none"/>
              </w:rPr>
            </w:pPr>
            <w:r>
              <w:rPr>
                <w:rFonts w:hint="eastAsia"/>
                <w:color w:val="auto"/>
                <w:szCs w:val="21"/>
                <w:highlight w:val="none"/>
              </w:rPr>
              <w:t>漳湾临港工业区临时一体化污水处理厂进水水质要求（COD≤500mg/L，BOD</w:t>
            </w:r>
            <w:r>
              <w:rPr>
                <w:rFonts w:hint="eastAsia"/>
                <w:color w:val="auto"/>
                <w:szCs w:val="21"/>
                <w:highlight w:val="none"/>
                <w:vertAlign w:val="subscript"/>
              </w:rPr>
              <w:t>5</w:t>
            </w:r>
            <w:r>
              <w:rPr>
                <w:rFonts w:hint="eastAsia"/>
                <w:color w:val="auto"/>
                <w:szCs w:val="21"/>
                <w:highlight w:val="none"/>
              </w:rPr>
              <w:t>≤180mg/L，SS≤400mg/L，NH</w:t>
            </w:r>
            <w:r>
              <w:rPr>
                <w:rFonts w:hint="eastAsia"/>
                <w:color w:val="auto"/>
                <w:szCs w:val="21"/>
                <w:highlight w:val="none"/>
                <w:vertAlign w:val="subscript"/>
              </w:rPr>
              <w:t>3</w:t>
            </w:r>
            <w:r>
              <w:rPr>
                <w:rFonts w:hint="eastAsia"/>
                <w:color w:val="auto"/>
                <w:szCs w:val="21"/>
                <w:highlight w:val="none"/>
              </w:rPr>
              <w:t>-N≤45mg/L，TP≤3mg/L）</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color w:val="auto"/>
                <w:sz w:val="21"/>
                <w:szCs w:val="21"/>
                <w:highlight w:val="none"/>
              </w:rPr>
              <w:t>氨氮</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5"/>
              <w:rPr>
                <w:color w:val="auto"/>
                <w:highlight w:val="none"/>
              </w:rPr>
            </w:pPr>
            <w:r>
              <w:rPr>
                <w:rFonts w:hint="eastAsia"/>
                <w:color w:val="auto"/>
                <w:highlight w:val="none"/>
              </w:rPr>
              <w:t>COD</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5"/>
              <w:rPr>
                <w:color w:val="auto"/>
                <w:highlight w:val="none"/>
              </w:rPr>
            </w:pPr>
            <w:r>
              <w:rPr>
                <w:rFonts w:hint="eastAsia"/>
                <w:color w:val="auto"/>
                <w:highlight w:val="none"/>
              </w:rPr>
              <w:t>悬浮物</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restart"/>
            <w:vAlign w:val="center"/>
          </w:tcPr>
          <w:p>
            <w:pPr>
              <w:adjustRightInd w:val="0"/>
              <w:snapToGrid w:val="0"/>
              <w:jc w:val="center"/>
              <w:rPr>
                <w:color w:val="auto"/>
                <w:szCs w:val="21"/>
                <w:highlight w:val="none"/>
              </w:rPr>
            </w:pPr>
            <w:r>
              <w:rPr>
                <w:rFonts w:hint="eastAsia"/>
                <w:color w:val="auto"/>
                <w:szCs w:val="21"/>
                <w:highlight w:val="none"/>
              </w:rPr>
              <w:t>W3 初期雨水</w:t>
            </w: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COD</w:t>
            </w:r>
          </w:p>
        </w:tc>
        <w:tc>
          <w:tcPr>
            <w:tcW w:w="1037" w:type="pct"/>
            <w:vMerge w:val="restart"/>
            <w:vAlign w:val="center"/>
          </w:tcPr>
          <w:p>
            <w:pPr>
              <w:adjustRightInd w:val="0"/>
              <w:snapToGrid w:val="0"/>
              <w:jc w:val="center"/>
              <w:rPr>
                <w:color w:val="auto"/>
                <w:szCs w:val="21"/>
                <w:highlight w:val="none"/>
              </w:rPr>
            </w:pPr>
            <w:r>
              <w:rPr>
                <w:rFonts w:hint="eastAsia"/>
                <w:color w:val="auto"/>
                <w:szCs w:val="21"/>
                <w:highlight w:val="none"/>
              </w:rPr>
              <w:t>初期雨水池；采用“混凝沉淀+过滤”工艺处理后回用</w:t>
            </w:r>
          </w:p>
        </w:tc>
        <w:tc>
          <w:tcPr>
            <w:tcW w:w="1605" w:type="pct"/>
            <w:vMerge w:val="restart"/>
            <w:vAlign w:val="center"/>
          </w:tcPr>
          <w:p>
            <w:pPr>
              <w:adjustRightInd w:val="0"/>
              <w:snapToGrid w:val="0"/>
              <w:jc w:val="center"/>
              <w:rPr>
                <w:color w:val="auto"/>
                <w:szCs w:val="21"/>
                <w:highlight w:val="none"/>
              </w:rPr>
            </w:pPr>
            <w:r>
              <w:rPr>
                <w:rFonts w:hint="eastAsia"/>
                <w:color w:val="auto"/>
                <w:szCs w:val="21"/>
                <w:highlight w:val="none"/>
              </w:rPr>
              <w:t>全部回用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悬浮物</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石油类</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9" w:type="pct"/>
            <w:vMerge w:val="continue"/>
            <w:vAlign w:val="center"/>
          </w:tcPr>
          <w:p>
            <w:pPr>
              <w:adjustRightInd w:val="0"/>
              <w:snapToGrid w:val="0"/>
              <w:jc w:val="center"/>
              <w:rPr>
                <w:color w:val="auto"/>
                <w:szCs w:val="21"/>
                <w:highlight w:val="none"/>
              </w:rPr>
            </w:pPr>
          </w:p>
        </w:tc>
        <w:tc>
          <w:tcPr>
            <w:tcW w:w="882" w:type="pct"/>
            <w:vMerge w:val="continue"/>
            <w:vAlign w:val="center"/>
          </w:tcPr>
          <w:p>
            <w:pPr>
              <w:adjustRightInd w:val="0"/>
              <w:snapToGrid w:val="0"/>
              <w:jc w:val="center"/>
              <w:rPr>
                <w:color w:val="auto"/>
                <w:szCs w:val="21"/>
                <w:highlight w:val="none"/>
              </w:rPr>
            </w:pPr>
          </w:p>
        </w:tc>
        <w:tc>
          <w:tcPr>
            <w:tcW w:w="726" w:type="pct"/>
            <w:vAlign w:val="center"/>
          </w:tcPr>
          <w:p>
            <w:pPr>
              <w:pStyle w:val="32"/>
              <w:spacing w:line="240" w:lineRule="auto"/>
              <w:ind w:firstLine="0" w:firstLineChars="0"/>
              <w:jc w:val="center"/>
              <w:rPr>
                <w:color w:val="auto"/>
                <w:sz w:val="21"/>
                <w:szCs w:val="21"/>
                <w:highlight w:val="none"/>
              </w:rPr>
            </w:pPr>
            <w:r>
              <w:rPr>
                <w:rFonts w:hint="eastAsia"/>
                <w:color w:val="auto"/>
                <w:sz w:val="21"/>
                <w:szCs w:val="21"/>
                <w:highlight w:val="none"/>
              </w:rPr>
              <w:t>铜精矿</w:t>
            </w:r>
          </w:p>
        </w:tc>
        <w:tc>
          <w:tcPr>
            <w:tcW w:w="1037" w:type="pct"/>
            <w:vMerge w:val="continue"/>
            <w:vAlign w:val="center"/>
          </w:tcPr>
          <w:p>
            <w:pPr>
              <w:adjustRightInd w:val="0"/>
              <w:snapToGrid w:val="0"/>
              <w:jc w:val="center"/>
              <w:rPr>
                <w:color w:val="auto"/>
                <w:szCs w:val="21"/>
                <w:highlight w:val="none"/>
              </w:rPr>
            </w:pPr>
          </w:p>
        </w:tc>
        <w:tc>
          <w:tcPr>
            <w:tcW w:w="1605" w:type="pct"/>
            <w:vMerge w:val="continue"/>
            <w:vAlign w:val="center"/>
          </w:tcPr>
          <w:p>
            <w:pPr>
              <w:adjustRightInd w:val="0"/>
              <w:snapToGrid w:val="0"/>
              <w:jc w:val="center"/>
              <w:rPr>
                <w:color w:val="auto"/>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749" w:type="pct"/>
            <w:vAlign w:val="center"/>
          </w:tcPr>
          <w:p>
            <w:pPr>
              <w:adjustRightInd w:val="0"/>
              <w:snapToGrid w:val="0"/>
              <w:jc w:val="center"/>
              <w:rPr>
                <w:color w:val="auto"/>
                <w:szCs w:val="21"/>
                <w:highlight w:val="none"/>
              </w:rPr>
            </w:pPr>
            <w:r>
              <w:rPr>
                <w:color w:val="auto"/>
                <w:szCs w:val="21"/>
                <w:highlight w:val="none"/>
              </w:rPr>
              <w:t>声环境</w:t>
            </w:r>
          </w:p>
        </w:tc>
        <w:tc>
          <w:tcPr>
            <w:tcW w:w="882" w:type="pct"/>
            <w:vAlign w:val="center"/>
          </w:tcPr>
          <w:p>
            <w:pPr>
              <w:pStyle w:val="35"/>
              <w:rPr>
                <w:color w:val="auto"/>
                <w:highlight w:val="none"/>
              </w:rPr>
            </w:pPr>
            <w:r>
              <w:rPr>
                <w:rFonts w:hint="eastAsia"/>
                <w:color w:val="auto"/>
                <w:highlight w:val="none"/>
              </w:rPr>
              <w:t>生产设备</w:t>
            </w:r>
          </w:p>
        </w:tc>
        <w:tc>
          <w:tcPr>
            <w:tcW w:w="726" w:type="pct"/>
            <w:vAlign w:val="center"/>
          </w:tcPr>
          <w:p>
            <w:pPr>
              <w:adjustRightInd w:val="0"/>
              <w:snapToGrid w:val="0"/>
              <w:jc w:val="center"/>
              <w:rPr>
                <w:color w:val="auto"/>
                <w:szCs w:val="21"/>
                <w:highlight w:val="none"/>
              </w:rPr>
            </w:pPr>
            <w:r>
              <w:rPr>
                <w:rFonts w:hint="eastAsia"/>
                <w:color w:val="auto"/>
                <w:szCs w:val="21"/>
                <w:highlight w:val="none"/>
              </w:rPr>
              <w:t>等效连续A声级（厂界）</w:t>
            </w:r>
          </w:p>
        </w:tc>
        <w:tc>
          <w:tcPr>
            <w:tcW w:w="1037" w:type="pct"/>
            <w:vAlign w:val="center"/>
          </w:tcPr>
          <w:p>
            <w:pPr>
              <w:adjustRightInd w:val="0"/>
              <w:snapToGrid w:val="0"/>
              <w:jc w:val="center"/>
              <w:rPr>
                <w:color w:val="auto"/>
                <w:szCs w:val="21"/>
                <w:highlight w:val="none"/>
              </w:rPr>
            </w:pPr>
            <w:r>
              <w:rPr>
                <w:color w:val="auto"/>
                <w:szCs w:val="21"/>
                <w:highlight w:val="none"/>
              </w:rPr>
              <w:t>选用先进、低噪声设备；对各类机械、设备定期检修、维护</w:t>
            </w:r>
            <w:r>
              <w:rPr>
                <w:rFonts w:hint="eastAsia"/>
                <w:color w:val="auto"/>
                <w:szCs w:val="21"/>
                <w:highlight w:val="none"/>
              </w:rPr>
              <w:t>；厂房隔声</w:t>
            </w:r>
            <w:r>
              <w:rPr>
                <w:color w:val="auto"/>
                <w:szCs w:val="21"/>
                <w:highlight w:val="none"/>
              </w:rPr>
              <w:t>等</w:t>
            </w:r>
          </w:p>
        </w:tc>
        <w:tc>
          <w:tcPr>
            <w:tcW w:w="1605" w:type="pct"/>
            <w:vAlign w:val="center"/>
          </w:tcPr>
          <w:p>
            <w:pPr>
              <w:adjustRightInd w:val="0"/>
              <w:snapToGrid w:val="0"/>
              <w:jc w:val="center"/>
              <w:rPr>
                <w:color w:val="auto"/>
                <w:szCs w:val="21"/>
                <w:highlight w:val="none"/>
              </w:rPr>
            </w:pPr>
            <w:r>
              <w:rPr>
                <w:color w:val="auto"/>
                <w:szCs w:val="21"/>
                <w:highlight w:val="none"/>
              </w:rPr>
              <w:t>《工业企业厂界环境噪声排放标准》（GB12348-2008）中</w:t>
            </w:r>
            <w:r>
              <w:rPr>
                <w:rFonts w:hint="eastAsia"/>
                <w:color w:val="auto"/>
                <w:szCs w:val="21"/>
                <w:highlight w:val="none"/>
              </w:rPr>
              <w:t>3</w:t>
            </w:r>
            <w:r>
              <w:rPr>
                <w:color w:val="auto"/>
                <w:szCs w:val="21"/>
                <w:highlight w:val="none"/>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749" w:type="pct"/>
            <w:vAlign w:val="center"/>
          </w:tcPr>
          <w:p>
            <w:pPr>
              <w:adjustRightInd w:val="0"/>
              <w:snapToGrid w:val="0"/>
              <w:jc w:val="center"/>
              <w:rPr>
                <w:color w:val="auto"/>
                <w:szCs w:val="21"/>
                <w:highlight w:val="none"/>
              </w:rPr>
            </w:pPr>
            <w:r>
              <w:rPr>
                <w:color w:val="auto"/>
                <w:szCs w:val="21"/>
                <w:highlight w:val="none"/>
              </w:rPr>
              <w:t>电磁辐射</w:t>
            </w:r>
          </w:p>
        </w:tc>
        <w:tc>
          <w:tcPr>
            <w:tcW w:w="4250" w:type="pct"/>
            <w:gridSpan w:val="4"/>
            <w:vAlign w:val="center"/>
          </w:tcPr>
          <w:p>
            <w:pPr>
              <w:pStyle w:val="32"/>
              <w:ind w:firstLine="480"/>
              <w:rPr>
                <w:color w:val="auto"/>
                <w:szCs w:val="21"/>
                <w:highlight w:val="none"/>
              </w:rPr>
            </w:pPr>
            <w:r>
              <w:rPr>
                <w:rFonts w:hint="eastAsia" w:ascii="Times New Roman" w:hAnsi="Times New Roman" w:eastAsia="宋体" w:cs="Times New Roman"/>
                <w:color w:val="auto"/>
                <w:highlight w:val="none"/>
              </w:rPr>
              <w:t>本项目从国外进口的原料矿需满足《有色金属矿产品的天然放射性限值》（GB20664-2006）及《可免于辐射防护监管的物料中放射性核素活度浓度》（GB27742-2011）免管浓度值。进口原料矿经由海关进行放射性检测，若放射性核素活度浓度≥1Bg/g，由海关直接退运回原产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49" w:type="pct"/>
            <w:vAlign w:val="center"/>
          </w:tcPr>
          <w:p>
            <w:pPr>
              <w:adjustRightInd w:val="0"/>
              <w:snapToGrid w:val="0"/>
              <w:jc w:val="center"/>
              <w:rPr>
                <w:color w:val="auto"/>
                <w:sz w:val="24"/>
                <w:highlight w:val="none"/>
              </w:rPr>
            </w:pPr>
            <w:r>
              <w:rPr>
                <w:color w:val="auto"/>
                <w:sz w:val="24"/>
                <w:highlight w:val="none"/>
              </w:rPr>
              <w:t>固体废物</w:t>
            </w:r>
          </w:p>
        </w:tc>
        <w:tc>
          <w:tcPr>
            <w:tcW w:w="4250" w:type="pct"/>
            <w:gridSpan w:val="4"/>
            <w:vAlign w:val="center"/>
          </w:tcPr>
          <w:p>
            <w:pPr>
              <w:pStyle w:val="32"/>
              <w:ind w:firstLine="480"/>
              <w:rPr>
                <w:color w:val="auto"/>
                <w:highlight w:val="none"/>
              </w:rPr>
            </w:pPr>
            <w:r>
              <w:rPr>
                <w:rFonts w:hint="eastAsia"/>
                <w:color w:val="auto"/>
                <w:highlight w:val="none"/>
              </w:rPr>
              <w:t>（1）一般</w:t>
            </w:r>
            <w:r>
              <w:rPr>
                <w:color w:val="auto"/>
                <w:highlight w:val="none"/>
              </w:rPr>
              <w:t>工业固废</w:t>
            </w:r>
          </w:p>
          <w:p>
            <w:pPr>
              <w:pStyle w:val="32"/>
              <w:ind w:firstLine="480"/>
              <w:rPr>
                <w:color w:val="auto"/>
                <w:highlight w:val="none"/>
              </w:rPr>
            </w:pPr>
            <w:r>
              <w:rPr>
                <w:rFonts w:hint="eastAsia"/>
                <w:color w:val="auto"/>
                <w:highlight w:val="none"/>
              </w:rPr>
              <w:t>本项目产生的一般</w:t>
            </w:r>
            <w:r>
              <w:rPr>
                <w:color w:val="auto"/>
                <w:highlight w:val="none"/>
              </w:rPr>
              <w:t>工业固废</w:t>
            </w:r>
            <w:r>
              <w:rPr>
                <w:rFonts w:hint="eastAsia"/>
                <w:color w:val="auto"/>
                <w:highlight w:val="none"/>
              </w:rPr>
              <w:t>为</w:t>
            </w:r>
            <w:r>
              <w:rPr>
                <w:rFonts w:hint="eastAsia"/>
                <w:color w:val="auto"/>
                <w:highlight w:val="none"/>
                <w:lang w:val="en-US" w:eastAsia="zh-CN"/>
              </w:rPr>
              <w:t>初期雨水池、</w:t>
            </w:r>
            <w:r>
              <w:rPr>
                <w:rFonts w:hint="eastAsia"/>
                <w:color w:val="auto"/>
                <w:highlight w:val="none"/>
              </w:rPr>
              <w:t>沉淀池沉渣</w:t>
            </w:r>
            <w:r>
              <w:rPr>
                <w:rFonts w:hint="eastAsia"/>
                <w:color w:val="auto"/>
                <w:highlight w:val="none"/>
                <w:lang w:eastAsia="zh-CN"/>
              </w:rPr>
              <w:t>，</w:t>
            </w:r>
            <w:r>
              <w:rPr>
                <w:rFonts w:hint="eastAsia"/>
                <w:color w:val="auto"/>
                <w:highlight w:val="none"/>
              </w:rPr>
              <w:t>除尘器</w:t>
            </w:r>
            <w:r>
              <w:rPr>
                <w:rFonts w:hint="eastAsia"/>
                <w:color w:val="auto"/>
                <w:highlight w:val="none"/>
                <w:lang w:val="en-US" w:eastAsia="zh-CN"/>
              </w:rPr>
              <w:t>和地面沉降</w:t>
            </w:r>
            <w:r>
              <w:rPr>
                <w:rFonts w:hint="eastAsia"/>
                <w:color w:val="auto"/>
                <w:highlight w:val="none"/>
              </w:rPr>
              <w:t>收集</w:t>
            </w:r>
            <w:r>
              <w:rPr>
                <w:rFonts w:hint="eastAsia"/>
                <w:color w:val="auto"/>
                <w:highlight w:val="none"/>
                <w:lang w:val="en-US" w:eastAsia="zh-CN"/>
              </w:rPr>
              <w:t>的粉尘</w:t>
            </w:r>
            <w:r>
              <w:rPr>
                <w:rFonts w:hint="eastAsia"/>
                <w:color w:val="auto"/>
                <w:highlight w:val="none"/>
                <w:lang w:eastAsia="zh-CN"/>
              </w:rPr>
              <w:t>，</w:t>
            </w:r>
            <w:r>
              <w:rPr>
                <w:rFonts w:hint="eastAsia"/>
                <w:color w:val="auto"/>
                <w:highlight w:val="none"/>
              </w:rPr>
              <w:t>除尘器</w:t>
            </w:r>
            <w:r>
              <w:rPr>
                <w:rFonts w:hint="eastAsia"/>
                <w:color w:val="auto"/>
                <w:highlight w:val="none"/>
                <w:lang w:eastAsia="zh-CN"/>
              </w:rPr>
              <w:t>废滤芯</w:t>
            </w:r>
            <w:r>
              <w:rPr>
                <w:rFonts w:hint="eastAsia"/>
                <w:color w:val="auto"/>
                <w:highlight w:val="none"/>
              </w:rPr>
              <w:t>。其中</w:t>
            </w:r>
            <w:r>
              <w:rPr>
                <w:rFonts w:hint="eastAsia"/>
                <w:color w:val="auto"/>
                <w:highlight w:val="none"/>
                <w:lang w:val="en-US" w:eastAsia="zh-CN"/>
              </w:rPr>
              <w:t>初期雨水池、</w:t>
            </w:r>
            <w:r>
              <w:rPr>
                <w:rFonts w:hint="eastAsia"/>
                <w:color w:val="auto"/>
                <w:highlight w:val="none"/>
              </w:rPr>
              <w:t>沉淀池沉渣</w:t>
            </w:r>
            <w:r>
              <w:rPr>
                <w:rFonts w:hint="eastAsia"/>
                <w:color w:val="auto"/>
                <w:szCs w:val="22"/>
                <w:highlight w:val="none"/>
              </w:rPr>
              <w:t>定期全部捞出混到非标矿里继续作为原料回用于生产，</w:t>
            </w:r>
            <w:r>
              <w:rPr>
                <w:rFonts w:hint="eastAsia"/>
                <w:color w:val="auto"/>
                <w:highlight w:val="none"/>
              </w:rPr>
              <w:t>除尘器</w:t>
            </w:r>
            <w:r>
              <w:rPr>
                <w:rFonts w:hint="eastAsia"/>
                <w:color w:val="auto"/>
                <w:highlight w:val="none"/>
                <w:lang w:val="en-US" w:eastAsia="zh-CN"/>
              </w:rPr>
              <w:t>和地面沉降</w:t>
            </w:r>
            <w:r>
              <w:rPr>
                <w:rFonts w:hint="eastAsia"/>
                <w:color w:val="auto"/>
                <w:highlight w:val="none"/>
              </w:rPr>
              <w:t>收集</w:t>
            </w:r>
            <w:r>
              <w:rPr>
                <w:rFonts w:hint="eastAsia"/>
                <w:color w:val="auto"/>
                <w:highlight w:val="none"/>
                <w:lang w:val="en-US" w:eastAsia="zh-CN"/>
              </w:rPr>
              <w:t>的粉尘</w:t>
            </w:r>
            <w:r>
              <w:rPr>
                <w:rFonts w:hint="eastAsia"/>
                <w:color w:val="auto"/>
                <w:szCs w:val="22"/>
                <w:highlight w:val="none"/>
              </w:rPr>
              <w:t>混到非标矿里继续作为原料回用于生产；</w:t>
            </w:r>
            <w:r>
              <w:rPr>
                <w:rFonts w:hint="eastAsia"/>
                <w:color w:val="auto"/>
                <w:highlight w:val="none"/>
                <w:lang w:eastAsia="zh-CN"/>
              </w:rPr>
              <w:t>废滤芯</w:t>
            </w:r>
            <w:r>
              <w:rPr>
                <w:rFonts w:hint="eastAsia"/>
                <w:color w:val="auto"/>
                <w:highlight w:val="none"/>
              </w:rPr>
              <w:t>收集后暂存于一般固废间，由厂家回收处置，其</w:t>
            </w:r>
            <w:r>
              <w:rPr>
                <w:color w:val="auto"/>
                <w:highlight w:val="none"/>
              </w:rPr>
              <w:t>贮存、处置参照《一般工业固体废物贮存和填埋污染控制标准》（GB18599-2020）</w:t>
            </w:r>
            <w:r>
              <w:rPr>
                <w:rFonts w:hint="eastAsia"/>
                <w:color w:val="auto"/>
                <w:highlight w:val="none"/>
              </w:rPr>
              <w:t>进行。</w:t>
            </w:r>
          </w:p>
          <w:p>
            <w:pPr>
              <w:pStyle w:val="32"/>
              <w:ind w:firstLine="480"/>
              <w:rPr>
                <w:color w:val="auto"/>
                <w:highlight w:val="none"/>
              </w:rPr>
            </w:pPr>
            <w:r>
              <w:rPr>
                <w:rFonts w:hint="eastAsia"/>
                <w:color w:val="auto"/>
                <w:highlight w:val="none"/>
              </w:rPr>
              <w:t>项目一般工业固废暂存场所严格按照《一般工业固体废物贮存和填埋污染控制标准》（GB18599-2020）的要求进行建设，具备防风、防雨、防晒、防渗漏等要求。</w:t>
            </w:r>
          </w:p>
          <w:p>
            <w:pPr>
              <w:pStyle w:val="32"/>
              <w:ind w:firstLine="480"/>
              <w:rPr>
                <w:color w:val="auto"/>
                <w:highlight w:val="none"/>
              </w:rPr>
            </w:pPr>
            <w:r>
              <w:rPr>
                <w:rFonts w:hint="eastAsia"/>
                <w:color w:val="auto"/>
                <w:highlight w:val="none"/>
              </w:rPr>
              <w:t>（2）危险废物</w:t>
            </w:r>
          </w:p>
          <w:p>
            <w:pPr>
              <w:pStyle w:val="32"/>
              <w:ind w:firstLine="480"/>
              <w:rPr>
                <w:color w:val="auto"/>
                <w:highlight w:val="none"/>
                <w:lang w:bidi="ar"/>
              </w:rPr>
            </w:pPr>
            <w:r>
              <w:rPr>
                <w:rFonts w:hint="eastAsia"/>
                <w:color w:val="auto"/>
                <w:highlight w:val="none"/>
              </w:rPr>
              <w:t>本项目产生的危险废物为废油桶</w:t>
            </w:r>
            <w:r>
              <w:rPr>
                <w:rFonts w:hint="eastAsia"/>
                <w:color w:val="auto"/>
                <w:szCs w:val="22"/>
                <w:highlight w:val="none"/>
              </w:rPr>
              <w:t>、</w:t>
            </w:r>
            <w:r>
              <w:rPr>
                <w:rFonts w:hint="eastAsia"/>
                <w:color w:val="auto"/>
                <w:highlight w:val="none"/>
              </w:rPr>
              <w:t>废机油</w:t>
            </w:r>
            <w:r>
              <w:rPr>
                <w:rFonts w:hint="eastAsia"/>
                <w:color w:val="auto"/>
                <w:szCs w:val="22"/>
                <w:highlight w:val="none"/>
              </w:rPr>
              <w:t>、含油抹布</w:t>
            </w:r>
            <w:r>
              <w:rPr>
                <w:rFonts w:hint="eastAsia"/>
                <w:color w:val="auto"/>
                <w:highlight w:val="none"/>
              </w:rPr>
              <w:t>，收集后暂存于危废暂存间，定期委托有资质的单位处置</w:t>
            </w:r>
            <w:r>
              <w:rPr>
                <w:rFonts w:hint="eastAsia"/>
                <w:color w:val="auto"/>
                <w:highlight w:val="none"/>
                <w:lang w:bidi="ar"/>
              </w:rPr>
              <w:t>。</w:t>
            </w:r>
          </w:p>
          <w:p>
            <w:pPr>
              <w:pStyle w:val="32"/>
              <w:ind w:firstLine="480"/>
              <w:rPr>
                <w:color w:val="auto"/>
                <w:highlight w:val="none"/>
                <w:lang w:bidi="ar"/>
              </w:rPr>
            </w:pPr>
            <w:r>
              <w:rPr>
                <w:rFonts w:hint="eastAsia"/>
                <w:color w:val="auto"/>
                <w:highlight w:val="none"/>
              </w:rPr>
              <w:t>危险废物贮存和转运过程，应严格按</w:t>
            </w:r>
            <w:r>
              <w:rPr>
                <w:color w:val="auto"/>
                <w:highlight w:val="none"/>
              </w:rPr>
              <w:t>《危险废物贮存污染控制标准》</w:t>
            </w:r>
            <w:r>
              <w:rPr>
                <w:rFonts w:hint="eastAsia"/>
                <w:color w:val="auto"/>
                <w:highlight w:val="none"/>
              </w:rPr>
              <w:t>（</w:t>
            </w:r>
            <w:r>
              <w:rPr>
                <w:color w:val="auto"/>
                <w:highlight w:val="none"/>
              </w:rPr>
              <w:t>GB 18597-2023</w:t>
            </w:r>
            <w:r>
              <w:rPr>
                <w:rFonts w:hint="eastAsia"/>
                <w:color w:val="auto"/>
                <w:highlight w:val="none"/>
              </w:rPr>
              <w:t>）和</w:t>
            </w:r>
            <w:r>
              <w:rPr>
                <w:rFonts w:hint="eastAsia"/>
                <w:color w:val="auto"/>
                <w:sz w:val="22"/>
                <w:szCs w:val="22"/>
                <w:highlight w:val="none"/>
                <w:shd w:val="clear" w:color="auto" w:fill="FFFFFF"/>
              </w:rPr>
              <w:t>《</w:t>
            </w:r>
            <w:r>
              <w:rPr>
                <w:rFonts w:hint="eastAsia"/>
                <w:color w:val="auto"/>
                <w:highlight w:val="none"/>
              </w:rPr>
              <w:t>危险废物转移管理办法》（生态环境部令第</w:t>
            </w:r>
            <w:r>
              <w:rPr>
                <w:color w:val="auto"/>
                <w:highlight w:val="none"/>
              </w:rPr>
              <w:t>23</w:t>
            </w:r>
            <w:r>
              <w:rPr>
                <w:rFonts w:hint="eastAsia"/>
                <w:color w:val="auto"/>
                <w:highlight w:val="none"/>
              </w:rPr>
              <w:t>号）要求执行，厂区内设置危险废物暂存设施，并且在明显位置悬挂危险废物标识。</w:t>
            </w:r>
          </w:p>
          <w:p>
            <w:pPr>
              <w:pStyle w:val="32"/>
              <w:ind w:firstLine="480"/>
              <w:rPr>
                <w:color w:val="auto"/>
                <w:highlight w:val="none"/>
              </w:rPr>
            </w:pPr>
            <w:r>
              <w:rPr>
                <w:rFonts w:hint="eastAsia"/>
                <w:color w:val="auto"/>
                <w:highlight w:val="none"/>
              </w:rPr>
              <w:t>（3）生活垃圾</w:t>
            </w:r>
          </w:p>
          <w:p>
            <w:pPr>
              <w:pStyle w:val="32"/>
              <w:ind w:firstLine="480"/>
              <w:rPr>
                <w:color w:val="auto"/>
                <w:highlight w:val="none"/>
              </w:rPr>
            </w:pPr>
            <w:r>
              <w:rPr>
                <w:color w:val="auto"/>
                <w:highlight w:val="none"/>
              </w:rPr>
              <w:t>职工产生的生活垃圾经分类收集，委托环卫部门统一外运处置。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8" w:hRule="atLeast"/>
          <w:jc w:val="center"/>
        </w:trPr>
        <w:tc>
          <w:tcPr>
            <w:tcW w:w="749" w:type="pct"/>
            <w:vAlign w:val="center"/>
          </w:tcPr>
          <w:p>
            <w:pPr>
              <w:adjustRightInd w:val="0"/>
              <w:snapToGrid w:val="0"/>
              <w:jc w:val="center"/>
              <w:rPr>
                <w:color w:val="auto"/>
                <w:sz w:val="24"/>
                <w:highlight w:val="none"/>
              </w:rPr>
            </w:pPr>
            <w:r>
              <w:rPr>
                <w:color w:val="auto"/>
                <w:sz w:val="24"/>
                <w:highlight w:val="none"/>
              </w:rPr>
              <w:t>土壤及地下水污染防治措施</w:t>
            </w:r>
          </w:p>
        </w:tc>
        <w:tc>
          <w:tcPr>
            <w:tcW w:w="4250" w:type="pct"/>
            <w:gridSpan w:val="4"/>
            <w:vAlign w:val="center"/>
          </w:tcPr>
          <w:p>
            <w:pPr>
              <w:adjustRightInd w:val="0"/>
              <w:snapToGrid w:val="0"/>
              <w:spacing w:line="360" w:lineRule="auto"/>
              <w:ind w:firstLine="480" w:firstLineChars="200"/>
              <w:jc w:val="left"/>
              <w:rPr>
                <w:color w:val="auto"/>
                <w:sz w:val="24"/>
                <w:highlight w:val="none"/>
              </w:rPr>
            </w:pPr>
            <w:r>
              <w:rPr>
                <w:rFonts w:hint="eastAsia"/>
                <w:color w:val="auto"/>
                <w:sz w:val="24"/>
                <w:highlight w:val="none"/>
              </w:rPr>
              <w:t>根据本项目厂区可能泄漏至地面区域污染物的性质和生产单元的构筑方式，将厂区划分为重点防渗区、一般防渗区、简单防渗区，针对不同的区域提出相应的防渗要求。</w:t>
            </w:r>
          </w:p>
          <w:p>
            <w:pPr>
              <w:pStyle w:val="32"/>
              <w:ind w:firstLine="480"/>
              <w:rPr>
                <w:color w:val="auto"/>
                <w:highlight w:val="none"/>
              </w:rPr>
            </w:pPr>
            <w:r>
              <w:rPr>
                <w:rFonts w:hint="eastAsia"/>
                <w:color w:val="auto"/>
                <w:highlight w:val="none"/>
              </w:rPr>
              <w:t>①重点防渗区</w:t>
            </w:r>
          </w:p>
          <w:p>
            <w:pPr>
              <w:pStyle w:val="32"/>
              <w:ind w:firstLine="480"/>
              <w:rPr>
                <w:color w:val="auto"/>
                <w:highlight w:val="none"/>
              </w:rPr>
            </w:pPr>
            <w:r>
              <w:rPr>
                <w:rFonts w:hint="eastAsia"/>
                <w:color w:val="auto"/>
                <w:highlight w:val="none"/>
              </w:rPr>
              <w:t>沉淀池、初期雨水池、回用水管道、</w:t>
            </w:r>
            <w:r>
              <w:rPr>
                <w:color w:val="auto"/>
                <w:highlight w:val="none"/>
              </w:rPr>
              <w:t>危废暂存间按照《危险废物贮存污染控制标准》（GB18597-2023）的相关要求，重点污染防治区指污染地下水环境的物料泄漏后，不容易被及时发现和处理的区域。</w:t>
            </w:r>
            <w:r>
              <w:rPr>
                <w:rFonts w:hint="eastAsia"/>
                <w:color w:val="auto"/>
                <w:highlight w:val="none"/>
              </w:rPr>
              <w:t>按</w:t>
            </w:r>
            <w:r>
              <w:rPr>
                <w:color w:val="auto"/>
                <w:highlight w:val="none"/>
              </w:rPr>
              <w:t>照《危险废物贮</w:t>
            </w:r>
            <w:r>
              <w:rPr>
                <w:color w:val="auto"/>
                <w:spacing w:val="-1"/>
                <w:highlight w:val="none"/>
              </w:rPr>
              <w:t>存污染控制标准》</w:t>
            </w:r>
            <w:r>
              <w:rPr>
                <w:rFonts w:eastAsia="Times New Roman"/>
                <w:color w:val="auto"/>
                <w:spacing w:val="-1"/>
                <w:highlight w:val="none"/>
              </w:rPr>
              <w:t>(GB18597-2023)</w:t>
            </w:r>
            <w:r>
              <w:rPr>
                <w:color w:val="auto"/>
                <w:spacing w:val="-1"/>
                <w:highlight w:val="none"/>
              </w:rPr>
              <w:t>的要求进行防渗设计，即防渗层为至少1m厚粘土层（渗透系数≤</w:t>
            </w:r>
            <w:r>
              <w:rPr>
                <w:color w:val="auto"/>
                <w:highlight w:val="none"/>
              </w:rPr>
              <w:t>1.0×10</w:t>
            </w:r>
            <w:r>
              <w:rPr>
                <w:color w:val="auto"/>
                <w:highlight w:val="none"/>
                <w:vertAlign w:val="superscript"/>
              </w:rPr>
              <w:t>-7</w:t>
            </w:r>
            <w:r>
              <w:rPr>
                <w:color w:val="auto"/>
                <w:highlight w:val="none"/>
              </w:rPr>
              <w:t>cm/s</w:t>
            </w:r>
            <w:r>
              <w:rPr>
                <w:color w:val="auto"/>
                <w:spacing w:val="-1"/>
                <w:highlight w:val="none"/>
              </w:rPr>
              <w:t>），或2mm厚高密度聚乙烯或至少2mm厚的其他人工材料，</w:t>
            </w:r>
            <w:r>
              <w:rPr>
                <w:color w:val="auto"/>
                <w:highlight w:val="none"/>
              </w:rPr>
              <w:t>渗透系数≤1.0×10</w:t>
            </w:r>
            <w:r>
              <w:rPr>
                <w:color w:val="auto"/>
                <w:highlight w:val="none"/>
                <w:vertAlign w:val="superscript"/>
              </w:rPr>
              <w:t>-</w:t>
            </w:r>
            <w:r>
              <w:rPr>
                <w:rFonts w:hint="eastAsia"/>
                <w:color w:val="auto"/>
                <w:highlight w:val="none"/>
                <w:vertAlign w:val="superscript"/>
              </w:rPr>
              <w:t>10</w:t>
            </w:r>
            <w:r>
              <w:rPr>
                <w:color w:val="auto"/>
                <w:highlight w:val="none"/>
              </w:rPr>
              <w:t>cm/s。</w:t>
            </w:r>
          </w:p>
          <w:p>
            <w:pPr>
              <w:pStyle w:val="32"/>
              <w:ind w:firstLine="480"/>
              <w:rPr>
                <w:color w:val="auto"/>
                <w:highlight w:val="none"/>
              </w:rPr>
            </w:pPr>
            <w:r>
              <w:rPr>
                <w:color w:val="auto"/>
                <w:highlight w:val="none"/>
              </w:rPr>
              <w:t>②一般防渗区</w:t>
            </w:r>
          </w:p>
          <w:p>
            <w:pPr>
              <w:pStyle w:val="32"/>
              <w:ind w:firstLine="480"/>
              <w:rPr>
                <w:color w:val="auto"/>
                <w:highlight w:val="none"/>
              </w:rPr>
            </w:pPr>
            <w:r>
              <w:rPr>
                <w:rFonts w:hint="eastAsia"/>
                <w:color w:val="auto"/>
                <w:highlight w:val="none"/>
              </w:rPr>
              <w:t>一般固废暂存间属于一般污染防治区，一般污染防治区的防渗性能应与1.5m厚粘土层(渗透系数1.0×10</w:t>
            </w:r>
            <w:r>
              <w:rPr>
                <w:rFonts w:hint="eastAsia"/>
                <w:color w:val="auto"/>
                <w:highlight w:val="none"/>
                <w:vertAlign w:val="superscript"/>
              </w:rPr>
              <w:t>-7</w:t>
            </w:r>
            <w:r>
              <w:rPr>
                <w:rFonts w:hint="eastAsia"/>
                <w:color w:val="auto"/>
                <w:highlight w:val="none"/>
              </w:rPr>
              <w:t>cm/s)等效。</w:t>
            </w:r>
          </w:p>
          <w:p>
            <w:pPr>
              <w:pStyle w:val="32"/>
              <w:ind w:firstLine="480"/>
              <w:rPr>
                <w:color w:val="auto"/>
                <w:highlight w:val="none"/>
              </w:rPr>
            </w:pPr>
            <w:r>
              <w:rPr>
                <w:rFonts w:hint="eastAsia"/>
                <w:color w:val="auto"/>
                <w:highlight w:val="none"/>
              </w:rPr>
              <w:t>③简单防渗区</w:t>
            </w:r>
          </w:p>
          <w:p>
            <w:pPr>
              <w:pStyle w:val="32"/>
              <w:ind w:firstLine="480"/>
              <w:rPr>
                <w:color w:val="auto"/>
                <w:highlight w:val="none"/>
              </w:rPr>
            </w:pPr>
            <w:r>
              <w:rPr>
                <w:rFonts w:hint="eastAsia"/>
                <w:color w:val="auto"/>
                <w:highlight w:val="none"/>
              </w:rPr>
              <w:t>生产车间内污染物容易控制，仅需一般地面硬化。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9" w:type="pct"/>
            <w:vAlign w:val="center"/>
          </w:tcPr>
          <w:p>
            <w:pPr>
              <w:adjustRightInd w:val="0"/>
              <w:snapToGrid w:val="0"/>
              <w:jc w:val="center"/>
              <w:rPr>
                <w:color w:val="auto"/>
                <w:sz w:val="24"/>
                <w:highlight w:val="none"/>
              </w:rPr>
            </w:pPr>
            <w:r>
              <w:rPr>
                <w:color w:val="auto"/>
                <w:sz w:val="24"/>
                <w:highlight w:val="none"/>
              </w:rPr>
              <w:t>生态保护措施</w:t>
            </w:r>
          </w:p>
        </w:tc>
        <w:tc>
          <w:tcPr>
            <w:tcW w:w="4250" w:type="pct"/>
            <w:gridSpan w:val="4"/>
            <w:vAlign w:val="center"/>
          </w:tcPr>
          <w:p>
            <w:pPr>
              <w:pStyle w:val="32"/>
              <w:ind w:firstLine="480"/>
              <w:rPr>
                <w:color w:val="auto"/>
                <w:highlight w:val="none"/>
              </w:rPr>
            </w:pPr>
            <w:r>
              <w:rPr>
                <w:rFonts w:hint="eastAsia"/>
                <w:color w:val="auto"/>
                <w:highlight w:val="none"/>
              </w:rPr>
              <w:t>拟建项目周围无珍稀物种。对于评价区域来说，通过加强厂界周围环境现有植被的管护，起到降低噪声、吸附尘粒、净化空气的作用，同时也可以防止水土流失。另外，应确保项目投产后的各项污染物达标排放，以减少对区域生态环境的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49" w:type="pct"/>
            <w:vAlign w:val="center"/>
          </w:tcPr>
          <w:p>
            <w:pPr>
              <w:adjustRightInd w:val="0"/>
              <w:snapToGrid w:val="0"/>
              <w:jc w:val="center"/>
              <w:rPr>
                <w:color w:val="auto"/>
                <w:spacing w:val="-8"/>
                <w:sz w:val="24"/>
                <w:highlight w:val="none"/>
              </w:rPr>
            </w:pPr>
            <w:r>
              <w:rPr>
                <w:color w:val="auto"/>
                <w:spacing w:val="-8"/>
                <w:sz w:val="24"/>
                <w:highlight w:val="none"/>
              </w:rPr>
              <w:t>环境风险</w:t>
            </w:r>
          </w:p>
          <w:p>
            <w:pPr>
              <w:adjustRightInd w:val="0"/>
              <w:snapToGrid w:val="0"/>
              <w:jc w:val="center"/>
              <w:rPr>
                <w:color w:val="auto"/>
                <w:spacing w:val="-8"/>
                <w:sz w:val="24"/>
                <w:highlight w:val="none"/>
              </w:rPr>
            </w:pPr>
            <w:r>
              <w:rPr>
                <w:color w:val="auto"/>
                <w:spacing w:val="-8"/>
                <w:sz w:val="24"/>
                <w:highlight w:val="none"/>
              </w:rPr>
              <w:t>防范措施</w:t>
            </w:r>
          </w:p>
        </w:tc>
        <w:tc>
          <w:tcPr>
            <w:tcW w:w="4250" w:type="pct"/>
            <w:gridSpan w:val="4"/>
            <w:vAlign w:val="center"/>
          </w:tcPr>
          <w:p>
            <w:pPr>
              <w:spacing w:line="360" w:lineRule="auto"/>
              <w:ind w:firstLine="480" w:firstLineChars="200"/>
              <w:rPr>
                <w:color w:val="auto"/>
                <w:sz w:val="24"/>
                <w:highlight w:val="none"/>
              </w:rPr>
            </w:pPr>
            <w:r>
              <w:rPr>
                <w:rFonts w:hint="eastAsia"/>
                <w:color w:val="auto"/>
                <w:sz w:val="24"/>
                <w:highlight w:val="none"/>
              </w:rPr>
              <w:t>拟建项目必须加强管理，杜绝各类事故发生，编制突发环境事件应急预案并备案，配套应急物资，定期开展应急演练，制定详细的事故应急计划，配备必要的应急设备并对员工进行消防培训，将事故风险环境影响降到最低。</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749" w:type="pct"/>
            <w:vAlign w:val="center"/>
          </w:tcPr>
          <w:p>
            <w:pPr>
              <w:adjustRightInd w:val="0"/>
              <w:snapToGrid w:val="0"/>
              <w:jc w:val="center"/>
              <w:rPr>
                <w:color w:val="auto"/>
                <w:spacing w:val="-8"/>
                <w:sz w:val="24"/>
                <w:highlight w:val="none"/>
              </w:rPr>
            </w:pPr>
            <w:r>
              <w:rPr>
                <w:color w:val="auto"/>
                <w:spacing w:val="-8"/>
                <w:sz w:val="24"/>
                <w:highlight w:val="none"/>
              </w:rPr>
              <w:t>其他环境</w:t>
            </w:r>
          </w:p>
          <w:p>
            <w:pPr>
              <w:adjustRightInd w:val="0"/>
              <w:snapToGrid w:val="0"/>
              <w:jc w:val="center"/>
              <w:rPr>
                <w:color w:val="auto"/>
                <w:spacing w:val="-8"/>
                <w:sz w:val="24"/>
                <w:highlight w:val="none"/>
              </w:rPr>
            </w:pPr>
            <w:r>
              <w:rPr>
                <w:color w:val="auto"/>
                <w:spacing w:val="-8"/>
                <w:sz w:val="24"/>
                <w:highlight w:val="none"/>
              </w:rPr>
              <w:t>管理要求</w:t>
            </w:r>
          </w:p>
        </w:tc>
        <w:tc>
          <w:tcPr>
            <w:tcW w:w="4250" w:type="pct"/>
            <w:gridSpan w:val="4"/>
            <w:vAlign w:val="center"/>
          </w:tcPr>
          <w:p>
            <w:pPr>
              <w:adjustRightInd w:val="0"/>
              <w:snapToGrid w:val="0"/>
              <w:spacing w:line="360" w:lineRule="auto"/>
              <w:ind w:firstLine="480" w:firstLineChars="200"/>
              <w:rPr>
                <w:color w:val="auto"/>
                <w:sz w:val="24"/>
                <w:highlight w:val="none"/>
              </w:rPr>
            </w:pPr>
            <w:r>
              <w:rPr>
                <w:color w:val="auto"/>
                <w:sz w:val="24"/>
                <w:highlight w:val="none"/>
              </w:rPr>
              <w:t>（</w:t>
            </w:r>
            <w:r>
              <w:rPr>
                <w:rFonts w:hint="eastAsia"/>
                <w:color w:val="auto"/>
                <w:sz w:val="24"/>
                <w:highlight w:val="none"/>
              </w:rPr>
              <w:t>1</w:t>
            </w:r>
            <w:r>
              <w:rPr>
                <w:color w:val="auto"/>
                <w:sz w:val="24"/>
                <w:highlight w:val="none"/>
              </w:rPr>
              <w:t>）环境监测计划：环境监测应按</w:t>
            </w:r>
            <w:r>
              <w:rPr>
                <w:rFonts w:hint="eastAsia"/>
                <w:color w:val="auto"/>
                <w:sz w:val="24"/>
                <w:highlight w:val="none"/>
              </w:rPr>
              <w:t>《排污许可证申请与核发技术规范  总则》（HJ942-2018）《排污单位自行监测技术指南  总则》（HJ819-2017）《</w:t>
            </w:r>
            <w:r>
              <w:rPr>
                <w:rFonts w:hint="eastAsia"/>
                <w:color w:val="auto"/>
                <w:sz w:val="24"/>
                <w:highlight w:val="none"/>
              </w:rPr>
              <w:fldChar w:fldCharType="begin"/>
            </w:r>
            <w:r>
              <w:rPr>
                <w:rFonts w:hint="eastAsia"/>
                <w:color w:val="auto"/>
                <w:sz w:val="24"/>
                <w:highlight w:val="none"/>
              </w:rPr>
              <w:instrText xml:space="preserve"> HYPERLINK "https://www.mee.gov.cn/ywgz/fgbz/bz/bzwb/pwxk/202308/W020230919349861394526.pdf" </w:instrText>
            </w:r>
            <w:r>
              <w:rPr>
                <w:rFonts w:hint="eastAsia"/>
                <w:color w:val="auto"/>
                <w:sz w:val="24"/>
                <w:highlight w:val="none"/>
              </w:rPr>
              <w:fldChar w:fldCharType="separate"/>
            </w:r>
            <w:r>
              <w:rPr>
                <w:rFonts w:hint="eastAsia"/>
                <w:color w:val="auto"/>
                <w:sz w:val="24"/>
                <w:highlight w:val="none"/>
              </w:rPr>
              <w:t>排污许可证申请与核发技术规范 工业噪声》</w:t>
            </w:r>
            <w:r>
              <w:rPr>
                <w:rFonts w:hint="eastAsia"/>
                <w:color w:val="auto"/>
                <w:sz w:val="24"/>
                <w:highlight w:val="none"/>
              </w:rPr>
              <w:fldChar w:fldCharType="end"/>
            </w:r>
            <w:r>
              <w:rPr>
                <w:rFonts w:hint="eastAsia"/>
                <w:color w:val="auto"/>
                <w:sz w:val="24"/>
                <w:highlight w:val="none"/>
              </w:rPr>
              <w:t>（HJ1301—2023）中</w:t>
            </w:r>
            <w:r>
              <w:rPr>
                <w:color w:val="auto"/>
                <w:sz w:val="24"/>
                <w:highlight w:val="none"/>
              </w:rPr>
              <w:t>的各项监测指标进行监测，并根据具体指标分别采取常规监测和定期监测，环境监测内容主要是污染源监测与必要的外环境监测，根据本项目的特征和区域环境现状、环境规划要求，制定本项目运营期的环境监测计划，包括监测因子、频次、点位等具体内容，具体监测计划见下表：</w:t>
            </w:r>
          </w:p>
          <w:p>
            <w:pPr>
              <w:pStyle w:val="33"/>
              <w:rPr>
                <w:color w:val="auto"/>
                <w:highlight w:val="none"/>
              </w:rPr>
            </w:pPr>
            <w:r>
              <w:rPr>
                <w:rFonts w:hint="eastAsia"/>
                <w:color w:val="auto"/>
                <w:highlight w:val="none"/>
              </w:rPr>
              <w:t>表5.1.1  监测计划一览表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2339"/>
              <w:gridCol w:w="3110"/>
              <w:gridCol w:w="1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828" w:type="pct"/>
                  <w:tcBorders>
                    <w:right w:val="single" w:color="000000" w:sz="4" w:space="0"/>
                  </w:tcBorders>
                  <w:vAlign w:val="center"/>
                </w:tcPr>
                <w:p>
                  <w:pPr>
                    <w:pStyle w:val="35"/>
                    <w:rPr>
                      <w:color w:val="auto"/>
                      <w:highlight w:val="none"/>
                    </w:rPr>
                  </w:pPr>
                  <w:r>
                    <w:rPr>
                      <w:color w:val="auto"/>
                      <w:highlight w:val="none"/>
                    </w:rPr>
                    <w:t>项目</w:t>
                  </w:r>
                </w:p>
              </w:tc>
              <w:tc>
                <w:tcPr>
                  <w:tcW w:w="1489" w:type="pct"/>
                  <w:tcBorders>
                    <w:left w:val="single" w:color="000000" w:sz="4" w:space="0"/>
                  </w:tcBorders>
                  <w:vAlign w:val="center"/>
                </w:tcPr>
                <w:p>
                  <w:pPr>
                    <w:pStyle w:val="35"/>
                    <w:rPr>
                      <w:color w:val="auto"/>
                      <w:highlight w:val="none"/>
                    </w:rPr>
                  </w:pPr>
                  <w:r>
                    <w:rPr>
                      <w:color w:val="auto"/>
                      <w:highlight w:val="none"/>
                    </w:rPr>
                    <w:t>监测点位</w:t>
                  </w:r>
                </w:p>
              </w:tc>
              <w:tc>
                <w:tcPr>
                  <w:tcW w:w="1980" w:type="pct"/>
                  <w:vAlign w:val="center"/>
                </w:tcPr>
                <w:p>
                  <w:pPr>
                    <w:pStyle w:val="35"/>
                    <w:rPr>
                      <w:color w:val="auto"/>
                      <w:highlight w:val="none"/>
                    </w:rPr>
                  </w:pPr>
                  <w:r>
                    <w:rPr>
                      <w:color w:val="auto"/>
                      <w:highlight w:val="none"/>
                    </w:rPr>
                    <w:t>监测指标</w:t>
                  </w:r>
                </w:p>
              </w:tc>
              <w:tc>
                <w:tcPr>
                  <w:tcW w:w="701" w:type="pct"/>
                  <w:vAlign w:val="center"/>
                </w:tcPr>
                <w:p>
                  <w:pPr>
                    <w:pStyle w:val="35"/>
                    <w:rPr>
                      <w:color w:val="auto"/>
                      <w:highlight w:val="none"/>
                    </w:rPr>
                  </w:pPr>
                  <w:r>
                    <w:rPr>
                      <w:color w:val="auto"/>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Merge w:val="restart"/>
                  <w:vAlign w:val="center"/>
                </w:tcPr>
                <w:p>
                  <w:pPr>
                    <w:pStyle w:val="35"/>
                    <w:rPr>
                      <w:color w:val="auto"/>
                      <w:highlight w:val="none"/>
                    </w:rPr>
                  </w:pPr>
                  <w:r>
                    <w:rPr>
                      <w:rFonts w:hint="eastAsia"/>
                      <w:color w:val="auto"/>
                      <w:highlight w:val="none"/>
                    </w:rPr>
                    <w:t>有组织废气</w:t>
                  </w:r>
                </w:p>
              </w:tc>
              <w:tc>
                <w:tcPr>
                  <w:tcW w:w="1489" w:type="pct"/>
                  <w:vAlign w:val="center"/>
                </w:tcPr>
                <w:p>
                  <w:pPr>
                    <w:pStyle w:val="39"/>
                    <w:spacing w:line="300" w:lineRule="exact"/>
                    <w:rPr>
                      <w:color w:val="auto"/>
                      <w:highlight w:val="none"/>
                    </w:rPr>
                  </w:pPr>
                  <w:r>
                    <w:rPr>
                      <w:rFonts w:hint="eastAsia"/>
                      <w:color w:val="auto"/>
                      <w:highlight w:val="none"/>
                      <w:lang w:val="en-US" w:eastAsia="zh-CN"/>
                    </w:rPr>
                    <w:t>M-9#</w:t>
                  </w:r>
                  <w:r>
                    <w:rPr>
                      <w:rFonts w:hint="eastAsia"/>
                      <w:color w:val="auto"/>
                      <w:kern w:val="0"/>
                      <w:highlight w:val="none"/>
                      <w:lang w:bidi="ar"/>
                    </w:rPr>
                    <w:t>转运站</w:t>
                  </w:r>
                  <w:r>
                    <w:rPr>
                      <w:rFonts w:hint="eastAsia"/>
                      <w:color w:val="auto"/>
                      <w:highlight w:val="none"/>
                      <w:lang w:val="en-US" w:eastAsia="zh-CN"/>
                    </w:rPr>
                    <w:t>塑烧板除尘器排气筒</w:t>
                  </w:r>
                  <w:r>
                    <w:rPr>
                      <w:rFonts w:hint="eastAsia"/>
                      <w:color w:val="auto"/>
                      <w:highlight w:val="none"/>
                    </w:rPr>
                    <w:t>DA001</w:t>
                  </w:r>
                </w:p>
              </w:tc>
              <w:tc>
                <w:tcPr>
                  <w:tcW w:w="1980" w:type="pct"/>
                  <w:vMerge w:val="restart"/>
                  <w:vAlign w:val="center"/>
                </w:tcPr>
                <w:p>
                  <w:pPr>
                    <w:pStyle w:val="39"/>
                    <w:spacing w:line="300" w:lineRule="exact"/>
                    <w:rPr>
                      <w:color w:val="auto"/>
                      <w:highlight w:val="none"/>
                    </w:rPr>
                  </w:pPr>
                  <w:r>
                    <w:rPr>
                      <w:rFonts w:hint="eastAsia"/>
                      <w:color w:val="auto"/>
                      <w:highlight w:val="none"/>
                    </w:rPr>
                    <w:t>颗粒物</w:t>
                  </w:r>
                </w:p>
              </w:tc>
              <w:tc>
                <w:tcPr>
                  <w:tcW w:w="701" w:type="pct"/>
                  <w:vAlign w:val="center"/>
                </w:tcPr>
                <w:p>
                  <w:pPr>
                    <w:pStyle w:val="35"/>
                    <w:rPr>
                      <w:color w:val="auto"/>
                      <w:highlight w:val="none"/>
                    </w:rPr>
                  </w:pPr>
                  <w:r>
                    <w:rPr>
                      <w:color w:val="auto"/>
                      <w:highlight w:val="none"/>
                    </w:rPr>
                    <w:t>1次/</w:t>
                  </w:r>
                  <w:r>
                    <w:rPr>
                      <w:rFonts w:hint="eastAsia"/>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Merge w:val="continue"/>
                  <w:vAlign w:val="center"/>
                </w:tcPr>
                <w:p>
                  <w:pPr>
                    <w:pStyle w:val="35"/>
                    <w:rPr>
                      <w:rFonts w:hint="eastAsia"/>
                      <w:color w:val="auto"/>
                      <w:highlight w:val="none"/>
                    </w:rPr>
                  </w:pPr>
                </w:p>
              </w:tc>
              <w:tc>
                <w:tcPr>
                  <w:tcW w:w="1489" w:type="pct"/>
                  <w:vAlign w:val="center"/>
                </w:tcPr>
                <w:p>
                  <w:pPr>
                    <w:pStyle w:val="39"/>
                    <w:spacing w:line="300" w:lineRule="exact"/>
                    <w:rPr>
                      <w:rFonts w:hint="default" w:eastAsia="宋体"/>
                      <w:color w:val="auto"/>
                      <w:highlight w:val="none"/>
                      <w:lang w:val="en-US" w:eastAsia="zh-CN"/>
                    </w:rPr>
                  </w:pPr>
                  <w:r>
                    <w:rPr>
                      <w:rFonts w:hint="eastAsia"/>
                      <w:color w:val="auto"/>
                      <w:highlight w:val="none"/>
                      <w:lang w:val="en-US" w:eastAsia="zh-CN"/>
                    </w:rPr>
                    <w:t>卸矿站东侧塑烧板除尘器排气筒</w:t>
                  </w:r>
                  <w:r>
                    <w:rPr>
                      <w:rFonts w:hint="eastAsia"/>
                      <w:color w:val="auto"/>
                      <w:highlight w:val="none"/>
                    </w:rPr>
                    <w:t>DA002</w:t>
                  </w:r>
                </w:p>
              </w:tc>
              <w:tc>
                <w:tcPr>
                  <w:tcW w:w="1980" w:type="pct"/>
                  <w:vMerge w:val="continue"/>
                  <w:vAlign w:val="center"/>
                </w:tcPr>
                <w:p>
                  <w:pPr>
                    <w:pStyle w:val="39"/>
                    <w:spacing w:line="300" w:lineRule="exact"/>
                    <w:rPr>
                      <w:rFonts w:hint="eastAsia"/>
                      <w:color w:val="auto"/>
                      <w:highlight w:val="none"/>
                    </w:rPr>
                  </w:pPr>
                </w:p>
              </w:tc>
              <w:tc>
                <w:tcPr>
                  <w:tcW w:w="701" w:type="pct"/>
                  <w:vAlign w:val="center"/>
                </w:tcPr>
                <w:p>
                  <w:pPr>
                    <w:pStyle w:val="35"/>
                    <w:rPr>
                      <w:color w:val="auto"/>
                      <w:highlight w:val="none"/>
                    </w:rPr>
                  </w:pPr>
                  <w:r>
                    <w:rPr>
                      <w:color w:val="auto"/>
                      <w:highlight w:val="none"/>
                    </w:rPr>
                    <w:t>1次/</w:t>
                  </w:r>
                  <w:r>
                    <w:rPr>
                      <w:rFonts w:hint="eastAsia"/>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Merge w:val="continue"/>
                  <w:vAlign w:val="center"/>
                </w:tcPr>
                <w:p>
                  <w:pPr>
                    <w:pStyle w:val="35"/>
                    <w:rPr>
                      <w:rFonts w:hint="eastAsia"/>
                      <w:color w:val="auto"/>
                      <w:highlight w:val="none"/>
                    </w:rPr>
                  </w:pPr>
                </w:p>
              </w:tc>
              <w:tc>
                <w:tcPr>
                  <w:tcW w:w="1489" w:type="pct"/>
                  <w:vAlign w:val="center"/>
                </w:tcPr>
                <w:p>
                  <w:pPr>
                    <w:pStyle w:val="39"/>
                    <w:spacing w:line="300" w:lineRule="exact"/>
                    <w:rPr>
                      <w:rFonts w:hint="eastAsia" w:eastAsia="宋体"/>
                      <w:color w:val="auto"/>
                      <w:highlight w:val="none"/>
                      <w:lang w:eastAsia="zh-CN"/>
                    </w:rPr>
                  </w:pPr>
                  <w:r>
                    <w:rPr>
                      <w:rFonts w:hint="eastAsia"/>
                      <w:color w:val="auto"/>
                      <w:highlight w:val="none"/>
                      <w:lang w:val="en-US" w:eastAsia="zh-CN"/>
                    </w:rPr>
                    <w:t>混矿库西侧塑烧板除尘器排气筒</w:t>
                  </w:r>
                  <w:r>
                    <w:rPr>
                      <w:rFonts w:hint="eastAsia"/>
                      <w:color w:val="auto"/>
                      <w:highlight w:val="none"/>
                    </w:rPr>
                    <w:t>DA00</w:t>
                  </w:r>
                  <w:r>
                    <w:rPr>
                      <w:rFonts w:hint="eastAsia"/>
                      <w:color w:val="auto"/>
                      <w:highlight w:val="none"/>
                      <w:lang w:val="en-US" w:eastAsia="zh-CN"/>
                    </w:rPr>
                    <w:t>3</w:t>
                  </w:r>
                </w:p>
              </w:tc>
              <w:tc>
                <w:tcPr>
                  <w:tcW w:w="1980" w:type="pct"/>
                  <w:vMerge w:val="continue"/>
                  <w:vAlign w:val="center"/>
                </w:tcPr>
                <w:p>
                  <w:pPr>
                    <w:pStyle w:val="39"/>
                    <w:spacing w:line="300" w:lineRule="exact"/>
                    <w:rPr>
                      <w:rFonts w:hint="eastAsia"/>
                      <w:color w:val="auto"/>
                      <w:highlight w:val="none"/>
                    </w:rPr>
                  </w:pPr>
                </w:p>
              </w:tc>
              <w:tc>
                <w:tcPr>
                  <w:tcW w:w="701" w:type="pct"/>
                  <w:vAlign w:val="center"/>
                </w:tcPr>
                <w:p>
                  <w:pPr>
                    <w:pStyle w:val="35"/>
                    <w:rPr>
                      <w:color w:val="auto"/>
                      <w:highlight w:val="none"/>
                    </w:rPr>
                  </w:pPr>
                  <w:r>
                    <w:rPr>
                      <w:color w:val="auto"/>
                      <w:highlight w:val="none"/>
                    </w:rPr>
                    <w:t>1次/</w:t>
                  </w:r>
                  <w:r>
                    <w:rPr>
                      <w:rFonts w:hint="eastAsia"/>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Merge w:val="continue"/>
                  <w:vAlign w:val="center"/>
                </w:tcPr>
                <w:p>
                  <w:pPr>
                    <w:pStyle w:val="35"/>
                    <w:rPr>
                      <w:rFonts w:hint="eastAsia"/>
                      <w:color w:val="auto"/>
                      <w:highlight w:val="none"/>
                    </w:rPr>
                  </w:pPr>
                </w:p>
              </w:tc>
              <w:tc>
                <w:tcPr>
                  <w:tcW w:w="1489" w:type="pct"/>
                  <w:vAlign w:val="center"/>
                </w:tcPr>
                <w:p>
                  <w:pPr>
                    <w:pStyle w:val="39"/>
                    <w:spacing w:line="300" w:lineRule="exact"/>
                    <w:rPr>
                      <w:rFonts w:hint="eastAsia"/>
                      <w:color w:val="auto"/>
                      <w:highlight w:val="none"/>
                    </w:rPr>
                  </w:pPr>
                  <w:r>
                    <w:rPr>
                      <w:rFonts w:hint="eastAsia"/>
                      <w:color w:val="auto"/>
                      <w:highlight w:val="none"/>
                      <w:lang w:val="en-US" w:eastAsia="zh-CN"/>
                    </w:rPr>
                    <w:t>混矿库东侧塑烧板除尘器排气筒</w:t>
                  </w:r>
                  <w:r>
                    <w:rPr>
                      <w:rFonts w:hint="eastAsia"/>
                      <w:color w:val="auto"/>
                      <w:highlight w:val="none"/>
                    </w:rPr>
                    <w:t>DA00</w:t>
                  </w:r>
                  <w:r>
                    <w:rPr>
                      <w:rFonts w:hint="eastAsia"/>
                      <w:color w:val="auto"/>
                      <w:highlight w:val="none"/>
                      <w:lang w:val="en-US" w:eastAsia="zh-CN"/>
                    </w:rPr>
                    <w:t>4</w:t>
                  </w:r>
                </w:p>
              </w:tc>
              <w:tc>
                <w:tcPr>
                  <w:tcW w:w="1980" w:type="pct"/>
                  <w:vMerge w:val="continue"/>
                  <w:vAlign w:val="center"/>
                </w:tcPr>
                <w:p>
                  <w:pPr>
                    <w:pStyle w:val="39"/>
                    <w:spacing w:line="300" w:lineRule="exact"/>
                    <w:rPr>
                      <w:rFonts w:hint="eastAsia"/>
                      <w:color w:val="auto"/>
                      <w:highlight w:val="none"/>
                    </w:rPr>
                  </w:pPr>
                </w:p>
              </w:tc>
              <w:tc>
                <w:tcPr>
                  <w:tcW w:w="701" w:type="pct"/>
                  <w:vAlign w:val="center"/>
                </w:tcPr>
                <w:p>
                  <w:pPr>
                    <w:pStyle w:val="35"/>
                    <w:rPr>
                      <w:color w:val="auto"/>
                      <w:highlight w:val="none"/>
                    </w:rPr>
                  </w:pPr>
                  <w:r>
                    <w:rPr>
                      <w:color w:val="auto"/>
                      <w:highlight w:val="none"/>
                    </w:rPr>
                    <w:t>1次/</w:t>
                  </w:r>
                  <w:r>
                    <w:rPr>
                      <w:rFonts w:hint="eastAsia"/>
                      <w:color w:val="auto"/>
                      <w:highlight w:val="none"/>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pPr>
                    <w:pStyle w:val="35"/>
                    <w:rPr>
                      <w:color w:val="auto"/>
                      <w:highlight w:val="none"/>
                    </w:rPr>
                  </w:pPr>
                  <w:r>
                    <w:rPr>
                      <w:color w:val="auto"/>
                      <w:highlight w:val="none"/>
                    </w:rPr>
                    <w:t>无组织废气</w:t>
                  </w:r>
                </w:p>
              </w:tc>
              <w:tc>
                <w:tcPr>
                  <w:tcW w:w="1489" w:type="pct"/>
                  <w:vAlign w:val="center"/>
                </w:tcPr>
                <w:p>
                  <w:pPr>
                    <w:pStyle w:val="35"/>
                    <w:rPr>
                      <w:color w:val="auto"/>
                      <w:highlight w:val="none"/>
                    </w:rPr>
                  </w:pPr>
                  <w:r>
                    <w:rPr>
                      <w:color w:val="auto"/>
                      <w:highlight w:val="none"/>
                    </w:rPr>
                    <w:t>厂界</w:t>
                  </w:r>
                  <w:r>
                    <w:rPr>
                      <w:rFonts w:hint="eastAsia"/>
                      <w:color w:val="auto"/>
                      <w:highlight w:val="none"/>
                    </w:rPr>
                    <w:t>上风向1个点，下风向3个点</w:t>
                  </w:r>
                </w:p>
              </w:tc>
              <w:tc>
                <w:tcPr>
                  <w:tcW w:w="1980" w:type="pct"/>
                  <w:vMerge w:val="continue"/>
                  <w:vAlign w:val="center"/>
                </w:tcPr>
                <w:p>
                  <w:pPr>
                    <w:pStyle w:val="35"/>
                    <w:rPr>
                      <w:color w:val="auto"/>
                      <w:highlight w:val="none"/>
                    </w:rPr>
                  </w:pPr>
                </w:p>
              </w:tc>
              <w:tc>
                <w:tcPr>
                  <w:tcW w:w="701" w:type="pct"/>
                  <w:vAlign w:val="center"/>
                </w:tcPr>
                <w:p>
                  <w:pPr>
                    <w:pStyle w:val="35"/>
                    <w:rPr>
                      <w:rFonts w:hint="eastAsia" w:eastAsia="宋体"/>
                      <w:color w:val="auto"/>
                      <w:highlight w:val="none"/>
                      <w:lang w:eastAsia="zh-CN"/>
                    </w:rPr>
                  </w:pPr>
                  <w:r>
                    <w:rPr>
                      <w:color w:val="auto"/>
                      <w:highlight w:val="none"/>
                    </w:rPr>
                    <w:t>1次/</w:t>
                  </w:r>
                  <w:r>
                    <w:rPr>
                      <w:rFonts w:hint="eastAsia"/>
                      <w:color w:val="auto"/>
                      <w:highlight w:val="none"/>
                      <w:lang w:val="en-US"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pPr>
                    <w:widowControl/>
                    <w:jc w:val="center"/>
                    <w:textAlignment w:val="center"/>
                    <w:rPr>
                      <w:color w:val="auto"/>
                      <w:highlight w:val="none"/>
                    </w:rPr>
                  </w:pPr>
                  <w:r>
                    <w:rPr>
                      <w:rFonts w:hint="eastAsia"/>
                      <w:color w:val="auto"/>
                      <w:kern w:val="0"/>
                      <w:szCs w:val="21"/>
                      <w:highlight w:val="none"/>
                      <w:lang w:val="en-US" w:eastAsia="zh-CN" w:bidi="ar"/>
                    </w:rPr>
                    <w:t>生活污水</w:t>
                  </w:r>
                </w:p>
              </w:tc>
              <w:tc>
                <w:tcPr>
                  <w:tcW w:w="1489" w:type="pct"/>
                  <w:vAlign w:val="center"/>
                </w:tcPr>
                <w:p>
                  <w:pPr>
                    <w:widowControl/>
                    <w:jc w:val="center"/>
                    <w:textAlignment w:val="center"/>
                    <w:rPr>
                      <w:color w:val="auto"/>
                      <w:highlight w:val="none"/>
                    </w:rPr>
                  </w:pPr>
                  <w:r>
                    <w:rPr>
                      <w:rFonts w:hint="eastAsia"/>
                      <w:color w:val="auto"/>
                      <w:kern w:val="0"/>
                      <w:szCs w:val="21"/>
                      <w:highlight w:val="none"/>
                      <w:lang w:val="en-US" w:eastAsia="zh-CN" w:bidi="ar"/>
                    </w:rPr>
                    <w:t>生活污水排口</w:t>
                  </w:r>
                </w:p>
              </w:tc>
              <w:tc>
                <w:tcPr>
                  <w:tcW w:w="1980" w:type="pct"/>
                  <w:vAlign w:val="center"/>
                </w:tcPr>
                <w:p>
                  <w:pPr>
                    <w:pStyle w:val="39"/>
                    <w:spacing w:line="300" w:lineRule="exact"/>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、NH</w:t>
                  </w:r>
                  <w:r>
                    <w:rPr>
                      <w:rFonts w:hint="eastAsia"/>
                      <w:color w:val="auto"/>
                      <w:highlight w:val="none"/>
                      <w:vertAlign w:val="subscript"/>
                    </w:rPr>
                    <w:t>3</w:t>
                  </w:r>
                  <w:r>
                    <w:rPr>
                      <w:rFonts w:hint="eastAsia"/>
                      <w:color w:val="auto"/>
                      <w:highlight w:val="none"/>
                    </w:rPr>
                    <w:t>-N、SS、氟化物、总氮、总磷、氨氮、总锌、石油类、总铜、硫化物、总砷、总铅、总镉、总镍、总汞</w:t>
                  </w:r>
                </w:p>
              </w:tc>
              <w:tc>
                <w:tcPr>
                  <w:tcW w:w="701" w:type="pct"/>
                  <w:vAlign w:val="center"/>
                </w:tcPr>
                <w:p>
                  <w:pPr>
                    <w:pStyle w:val="39"/>
                    <w:spacing w:line="300" w:lineRule="exact"/>
                    <w:rPr>
                      <w:color w:val="auto"/>
                      <w:highlight w:val="none"/>
                    </w:rPr>
                  </w:pPr>
                  <w:r>
                    <w:rPr>
                      <w:rFonts w:hint="eastAsia"/>
                      <w:color w:val="auto"/>
                      <w:highlight w:val="none"/>
                      <w:lang w:val="en-US" w:eastAsia="zh-CN"/>
                    </w:rPr>
                    <w:t>1次/季度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pPr>
                    <w:widowControl/>
                    <w:jc w:val="center"/>
                    <w:textAlignment w:val="center"/>
                    <w:rPr>
                      <w:color w:val="auto"/>
                      <w:highlight w:val="none"/>
                    </w:rPr>
                  </w:pPr>
                  <w:r>
                    <w:rPr>
                      <w:rFonts w:hint="eastAsia"/>
                      <w:color w:val="auto"/>
                      <w:kern w:val="0"/>
                      <w:szCs w:val="21"/>
                      <w:highlight w:val="none"/>
                      <w:lang w:val="en-US" w:eastAsia="zh-CN" w:bidi="ar"/>
                    </w:rPr>
                    <w:t>初期雨水</w:t>
                  </w:r>
                </w:p>
              </w:tc>
              <w:tc>
                <w:tcPr>
                  <w:tcW w:w="1489" w:type="pct"/>
                  <w:vAlign w:val="center"/>
                </w:tcPr>
                <w:p>
                  <w:pPr>
                    <w:widowControl/>
                    <w:jc w:val="center"/>
                    <w:textAlignment w:val="center"/>
                    <w:rPr>
                      <w:color w:val="auto"/>
                      <w:highlight w:val="none"/>
                    </w:rPr>
                  </w:pPr>
                  <w:r>
                    <w:rPr>
                      <w:rFonts w:hint="eastAsia"/>
                      <w:color w:val="auto"/>
                      <w:kern w:val="0"/>
                      <w:szCs w:val="21"/>
                      <w:highlight w:val="none"/>
                      <w:lang w:val="en-US" w:eastAsia="zh-CN" w:bidi="ar"/>
                    </w:rPr>
                    <w:t>初期雨水排口</w:t>
                  </w:r>
                </w:p>
              </w:tc>
              <w:tc>
                <w:tcPr>
                  <w:tcW w:w="1980" w:type="pct"/>
                  <w:vAlign w:val="center"/>
                </w:tcPr>
                <w:p>
                  <w:pPr>
                    <w:pStyle w:val="39"/>
                    <w:spacing w:line="300" w:lineRule="exact"/>
                    <w:rPr>
                      <w:color w:val="auto"/>
                      <w:highlight w:val="none"/>
                    </w:rPr>
                  </w:pPr>
                  <w:r>
                    <w:rPr>
                      <w:rFonts w:hint="eastAsia"/>
                      <w:color w:val="auto"/>
                      <w:highlight w:val="none"/>
                    </w:rPr>
                    <w:t>CODcr、BOD</w:t>
                  </w:r>
                  <w:r>
                    <w:rPr>
                      <w:rFonts w:hint="eastAsia"/>
                      <w:color w:val="auto"/>
                      <w:highlight w:val="none"/>
                      <w:vertAlign w:val="subscript"/>
                    </w:rPr>
                    <w:t>5</w:t>
                  </w:r>
                  <w:r>
                    <w:rPr>
                      <w:rFonts w:hint="eastAsia"/>
                      <w:color w:val="auto"/>
                      <w:highlight w:val="none"/>
                    </w:rPr>
                    <w:t>、SS、铬、镉、砷、铅、汞、锰、铜、镍、氟、铊、锑、锌、铁</w:t>
                  </w:r>
                </w:p>
              </w:tc>
              <w:tc>
                <w:tcPr>
                  <w:tcW w:w="701" w:type="pct"/>
                  <w:vAlign w:val="center"/>
                </w:tcPr>
                <w:p>
                  <w:pPr>
                    <w:pStyle w:val="39"/>
                    <w:spacing w:line="300" w:lineRule="exact"/>
                    <w:rPr>
                      <w:color w:val="auto"/>
                      <w:highlight w:val="none"/>
                    </w:rPr>
                  </w:pPr>
                  <w:r>
                    <w:rPr>
                      <w:rFonts w:hint="eastAsia"/>
                      <w:color w:val="auto"/>
                      <w:highlight w:val="none"/>
                      <w:lang w:val="en-US" w:eastAsia="zh-CN"/>
                    </w:rPr>
                    <w:t>1次/季度（下雨时监测）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pct"/>
                  <w:vAlign w:val="center"/>
                </w:tcPr>
                <w:p>
                  <w:pPr>
                    <w:pStyle w:val="35"/>
                    <w:rPr>
                      <w:color w:val="auto"/>
                      <w:highlight w:val="none"/>
                    </w:rPr>
                  </w:pPr>
                  <w:r>
                    <w:rPr>
                      <w:color w:val="auto"/>
                      <w:highlight w:val="none"/>
                    </w:rPr>
                    <w:t>噪声</w:t>
                  </w:r>
                </w:p>
              </w:tc>
              <w:tc>
                <w:tcPr>
                  <w:tcW w:w="1489" w:type="pct"/>
                  <w:vAlign w:val="center"/>
                </w:tcPr>
                <w:p>
                  <w:pPr>
                    <w:pStyle w:val="35"/>
                    <w:rPr>
                      <w:color w:val="auto"/>
                      <w:highlight w:val="none"/>
                    </w:rPr>
                  </w:pPr>
                  <w:r>
                    <w:rPr>
                      <w:rFonts w:hint="eastAsia"/>
                      <w:color w:val="auto"/>
                      <w:highlight w:val="none"/>
                    </w:rPr>
                    <w:t>厂界四周</w:t>
                  </w:r>
                </w:p>
              </w:tc>
              <w:tc>
                <w:tcPr>
                  <w:tcW w:w="1980" w:type="pct"/>
                  <w:vAlign w:val="center"/>
                </w:tcPr>
                <w:p>
                  <w:pPr>
                    <w:pStyle w:val="35"/>
                    <w:rPr>
                      <w:color w:val="auto"/>
                      <w:highlight w:val="none"/>
                    </w:rPr>
                  </w:pPr>
                  <w:r>
                    <w:rPr>
                      <w:rFonts w:hint="eastAsia"/>
                      <w:i/>
                      <w:iCs/>
                      <w:color w:val="auto"/>
                      <w:highlight w:val="none"/>
                    </w:rPr>
                    <w:t>L</w:t>
                  </w:r>
                  <w:r>
                    <w:rPr>
                      <w:rFonts w:hint="eastAsia"/>
                      <w:color w:val="auto"/>
                      <w:highlight w:val="none"/>
                      <w:vertAlign w:val="subscript"/>
                    </w:rPr>
                    <w:t>eq</w:t>
                  </w:r>
                  <w:r>
                    <w:rPr>
                      <w:rFonts w:hint="eastAsia"/>
                      <w:color w:val="auto"/>
                      <w:highlight w:val="none"/>
                    </w:rPr>
                    <w:t>、</w:t>
                  </w:r>
                  <w:r>
                    <w:rPr>
                      <w:rFonts w:hint="eastAsia"/>
                      <w:i/>
                      <w:iCs/>
                      <w:color w:val="auto"/>
                      <w:highlight w:val="none"/>
                    </w:rPr>
                    <w:t>L</w:t>
                  </w:r>
                  <w:r>
                    <w:rPr>
                      <w:rFonts w:hint="eastAsia"/>
                      <w:color w:val="auto"/>
                      <w:highlight w:val="none"/>
                      <w:vertAlign w:val="subscript"/>
                    </w:rPr>
                    <w:t>max</w:t>
                  </w:r>
                </w:p>
              </w:tc>
              <w:tc>
                <w:tcPr>
                  <w:tcW w:w="701" w:type="pct"/>
                  <w:vAlign w:val="center"/>
                </w:tcPr>
                <w:p>
                  <w:pPr>
                    <w:pStyle w:val="35"/>
                    <w:rPr>
                      <w:color w:val="auto"/>
                      <w:highlight w:val="none"/>
                    </w:rPr>
                  </w:pPr>
                  <w:r>
                    <w:rPr>
                      <w:color w:val="auto"/>
                      <w:highlight w:val="none"/>
                    </w:rPr>
                    <w:t>1次/季度</w:t>
                  </w:r>
                </w:p>
              </w:tc>
            </w:tr>
          </w:tbl>
          <w:p>
            <w:pPr>
              <w:pStyle w:val="27"/>
              <w:jc w:val="center"/>
              <w:rPr>
                <w:rFonts w:hint="default" w:ascii="Times New Roman" w:hAnsi="Times New Roman" w:eastAsia="宋体"/>
                <w:color w:val="auto"/>
                <w:szCs w:val="24"/>
                <w:highlight w:val="none"/>
              </w:rPr>
            </w:pP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（2）排污口规范建设和管理</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根据国家环境保护总局环发</w:t>
            </w:r>
            <w:r>
              <w:rPr>
                <w:rFonts w:ascii="Times New Roman" w:hAnsi="Times New Roman" w:eastAsia="宋体"/>
                <w:color w:val="auto"/>
                <w:szCs w:val="24"/>
                <w:highlight w:val="none"/>
              </w:rPr>
              <w:t>〔1999〕24号</w:t>
            </w:r>
            <w:r>
              <w:rPr>
                <w:rFonts w:hint="default" w:ascii="Times New Roman" w:hAnsi="Times New Roman" w:eastAsia="宋体"/>
                <w:color w:val="auto"/>
                <w:szCs w:val="24"/>
                <w:highlight w:val="none"/>
              </w:rPr>
              <w:t>文件的规定，一切新建、扩建、改建的排污单位必须在建设污染治理设施的同时建设规范化排污口，作为落实环境保护“三同时”制度的必要组成和项目验收内容之一。</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排污口设置应合理，便于采集样品，便于监测计量，便于公众监督管理。根据《排污口规范化整治技术要求（试行）》（环监〔1996〕470号）有关要求，对噪声、固废排污口设立相应的标志牌。根据拟建项目特点，建设单位应做到以下几方面：</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①</w:t>
            </w:r>
            <w:r>
              <w:rPr>
                <w:rFonts w:hint="default" w:ascii="Times New Roman" w:hAnsi="Times New Roman" w:eastAsia="宋体"/>
                <w:color w:val="auto"/>
                <w:szCs w:val="24"/>
                <w:highlight w:val="none"/>
              </w:rPr>
              <w:t>规范化的排污口</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废水排放口：</w:t>
            </w:r>
            <w:r>
              <w:rPr>
                <w:rFonts w:hint="default" w:ascii="Times New Roman" w:hAnsi="Times New Roman" w:eastAsia="宋体"/>
                <w:color w:val="auto"/>
                <w:szCs w:val="24"/>
                <w:highlight w:val="none"/>
              </w:rPr>
              <w:t>在</w:t>
            </w:r>
            <w:r>
              <w:rPr>
                <w:rFonts w:ascii="Times New Roman" w:hAnsi="Times New Roman" w:eastAsia="宋体"/>
                <w:color w:val="auto"/>
                <w:szCs w:val="24"/>
                <w:highlight w:val="none"/>
              </w:rPr>
              <w:t>废水</w:t>
            </w:r>
            <w:r>
              <w:rPr>
                <w:rFonts w:hint="default" w:ascii="Times New Roman" w:hAnsi="Times New Roman" w:eastAsia="宋体"/>
                <w:color w:val="auto"/>
                <w:szCs w:val="24"/>
                <w:highlight w:val="none"/>
              </w:rPr>
              <w:t>排放口处设置采样口</w:t>
            </w:r>
            <w:r>
              <w:rPr>
                <w:rFonts w:ascii="Times New Roman" w:hAnsi="Times New Roman" w:eastAsia="宋体"/>
                <w:color w:val="auto"/>
                <w:szCs w:val="24"/>
                <w:highlight w:val="none"/>
              </w:rPr>
              <w:t>，并在附近</w:t>
            </w:r>
            <w:r>
              <w:rPr>
                <w:rFonts w:hint="default" w:ascii="Times New Roman" w:hAnsi="Times New Roman" w:eastAsia="宋体"/>
                <w:color w:val="auto"/>
                <w:szCs w:val="24"/>
                <w:highlight w:val="none"/>
              </w:rPr>
              <w:t>醒目处设置环境保护图形标志牌。周围应设置既能方便采样，又能保障人员安全的护栏的设施；项目排污口和采样点水深小于1.2m，鼓励有条件的单位在排污口采样点设置夜间照明设施。排污口标志牌设置要求为：排污口或采样点在厂界附近或厂界外的，排污口标志牌应就近在排污口或采样点附近醒目处设置；排污口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96" w:hRule="atLeast"/>
          <w:jc w:val="center"/>
        </w:trPr>
        <w:tc>
          <w:tcPr>
            <w:tcW w:w="749" w:type="pct"/>
            <w:vAlign w:val="center"/>
          </w:tcPr>
          <w:p>
            <w:pPr>
              <w:adjustRightInd w:val="0"/>
              <w:snapToGrid w:val="0"/>
              <w:jc w:val="center"/>
              <w:rPr>
                <w:color w:val="auto"/>
                <w:spacing w:val="-8"/>
                <w:sz w:val="24"/>
                <w:highlight w:val="none"/>
              </w:rPr>
            </w:pPr>
            <w:r>
              <w:rPr>
                <w:color w:val="auto"/>
                <w:spacing w:val="-8"/>
                <w:sz w:val="24"/>
                <w:highlight w:val="none"/>
              </w:rPr>
              <w:t>其他环境</w:t>
            </w:r>
          </w:p>
          <w:p>
            <w:pPr>
              <w:adjustRightInd w:val="0"/>
              <w:snapToGrid w:val="0"/>
              <w:jc w:val="center"/>
              <w:rPr>
                <w:color w:val="auto"/>
                <w:spacing w:val="-8"/>
                <w:sz w:val="24"/>
                <w:highlight w:val="none"/>
              </w:rPr>
            </w:pPr>
            <w:r>
              <w:rPr>
                <w:color w:val="auto"/>
                <w:spacing w:val="-8"/>
                <w:sz w:val="24"/>
                <w:highlight w:val="none"/>
              </w:rPr>
              <w:t>管理要求</w:t>
            </w:r>
          </w:p>
        </w:tc>
        <w:tc>
          <w:tcPr>
            <w:tcW w:w="4250" w:type="pct"/>
            <w:gridSpan w:val="4"/>
            <w:vAlign w:val="center"/>
          </w:tcPr>
          <w:p>
            <w:pPr>
              <w:pStyle w:val="27"/>
              <w:spacing w:line="360" w:lineRule="auto"/>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志牌的形状宜采用矩形，长度应&gt;600mm，宽度应&gt;300mm，标志牌上缘距离地面2m；排污口的图形标志和辅助标志应在标志牌上单面显示，易于被公众和环保执法人员发现和识别。</w:t>
            </w:r>
            <w:r>
              <w:rPr>
                <w:rFonts w:ascii="Times New Roman" w:hAnsi="Times New Roman" w:eastAsia="宋体"/>
                <w:color w:val="auto"/>
                <w:szCs w:val="24"/>
                <w:highlight w:val="none"/>
              </w:rPr>
              <w:t>固定噪声源：</w:t>
            </w:r>
            <w:r>
              <w:rPr>
                <w:rFonts w:hint="default" w:ascii="Times New Roman" w:hAnsi="Times New Roman" w:eastAsia="宋体"/>
                <w:color w:val="auto"/>
                <w:szCs w:val="24"/>
                <w:highlight w:val="none"/>
              </w:rPr>
              <w:t>在固定噪声源设置环境保护图形标志牌。</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废气排放口：</w:t>
            </w:r>
            <w:r>
              <w:rPr>
                <w:rFonts w:hint="default" w:ascii="Times New Roman" w:hAnsi="Times New Roman" w:eastAsia="宋体"/>
                <w:color w:val="auto"/>
                <w:szCs w:val="24"/>
                <w:highlight w:val="none"/>
              </w:rPr>
              <w:t>在废气排放口处设置采样口和采样监测平台，废气排放口的环境保护图形标志牌设在废气处理设施排气筒附近地面醒目处。</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②环境保护图形标志</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建设项目完成排污口规范建设，其投资纳入正常生产设备之中。在固体废物贮存处置场、噪声产生点应设置环境保护图形标志，图形符号分为提示图形和警告图形符号两种，分别按GB15562.1-1995、GB15562.2-1995、HJ1276—2022执行。环境保护图形符号见下表。</w:t>
            </w:r>
          </w:p>
          <w:p>
            <w:pPr>
              <w:pStyle w:val="33"/>
              <w:rPr>
                <w:color w:val="auto"/>
                <w:highlight w:val="none"/>
              </w:rPr>
            </w:pPr>
            <w:r>
              <w:rPr>
                <w:color w:val="auto"/>
                <w:highlight w:val="none"/>
              </w:rPr>
              <w:t>表</w:t>
            </w:r>
            <w:r>
              <w:rPr>
                <w:rFonts w:hint="eastAsia"/>
                <w:color w:val="auto"/>
                <w:highlight w:val="none"/>
              </w:rPr>
              <w:t>5.1.2</w:t>
            </w:r>
            <w:r>
              <w:rPr>
                <w:color w:val="auto"/>
                <w:highlight w:val="none"/>
              </w:rPr>
              <w:t xml:space="preserve">  各排污口（源）标志牌设置示意图</w:t>
            </w:r>
          </w:p>
          <w:tbl>
            <w:tblPr>
              <w:tblStyle w:val="20"/>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286"/>
              <w:gridCol w:w="2287"/>
              <w:gridCol w:w="1355"/>
              <w:gridCol w:w="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092" w:type="pct"/>
                  <w:vAlign w:val="center"/>
                </w:tcPr>
                <w:p>
                  <w:pPr>
                    <w:pStyle w:val="27"/>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提示图形符号</w:t>
                  </w:r>
                </w:p>
              </w:tc>
              <w:tc>
                <w:tcPr>
                  <w:tcW w:w="1456"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警告图像符号</w:t>
                  </w:r>
                </w:p>
              </w:tc>
              <w:tc>
                <w:tcPr>
                  <w:tcW w:w="863"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名称</w:t>
                  </w:r>
                </w:p>
              </w:tc>
              <w:tc>
                <w:tcPr>
                  <w:tcW w:w="587"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092" w:type="pct"/>
                  <w:vAlign w:val="center"/>
                </w:tcPr>
                <w:p>
                  <w:pPr>
                    <w:pStyle w:val="27"/>
                    <w:jc w:val="center"/>
                    <w:rPr>
                      <w:rFonts w:hint="default" w:ascii="Times New Roman" w:hAnsi="Times New Roman" w:eastAsia="宋体"/>
                      <w:color w:val="auto"/>
                      <w:sz w:val="21"/>
                      <w:szCs w:val="21"/>
                      <w:highlight w:val="none"/>
                    </w:rPr>
                  </w:pPr>
                  <w:r>
                    <w:rPr>
                      <w:color w:val="auto"/>
                      <w:highlight w:val="none"/>
                    </w:rPr>
                    <w:drawing>
                      <wp:inline distT="0" distB="0" distL="114300" distR="114300">
                        <wp:extent cx="670560" cy="898525"/>
                        <wp:effectExtent l="0" t="0" r="15240" b="15875"/>
                        <wp:docPr id="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9"/>
                                <pic:cNvPicPr>
                                  <a:picLocks noChangeAspect="1"/>
                                </pic:cNvPicPr>
                              </pic:nvPicPr>
                              <pic:blipFill>
                                <a:blip r:embed="rId121"/>
                                <a:stretch>
                                  <a:fillRect/>
                                </a:stretch>
                              </pic:blipFill>
                              <pic:spPr>
                                <a:xfrm>
                                  <a:off x="0" y="0"/>
                                  <a:ext cx="670560" cy="898525"/>
                                </a:xfrm>
                                <a:prstGeom prst="rect">
                                  <a:avLst/>
                                </a:prstGeom>
                                <a:noFill/>
                                <a:ln>
                                  <a:noFill/>
                                </a:ln>
                              </pic:spPr>
                            </pic:pic>
                          </a:graphicData>
                        </a:graphic>
                      </wp:inline>
                    </w:drawing>
                  </w:r>
                  <w:r>
                    <w:rPr>
                      <w:rFonts w:hint="default" w:ascii="Times New Roman" w:hAnsi="Times New Roman" w:eastAsia="宋体"/>
                      <w:color w:val="auto"/>
                      <w:sz w:val="21"/>
                      <w:szCs w:val="21"/>
                      <w:highlight w:val="none"/>
                    </w:rPr>
                    <w:drawing>
                      <wp:inline distT="0" distB="0" distL="114300" distR="114300">
                        <wp:extent cx="696595" cy="880110"/>
                        <wp:effectExtent l="0" t="0" r="8255" b="1524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2"/>
                                <a:stretch>
                                  <a:fillRect/>
                                </a:stretch>
                              </pic:blipFill>
                              <pic:spPr>
                                <a:xfrm>
                                  <a:off x="0" y="0"/>
                                  <a:ext cx="696595" cy="880110"/>
                                </a:xfrm>
                                <a:prstGeom prst="rect">
                                  <a:avLst/>
                                </a:prstGeom>
                                <a:noFill/>
                                <a:ln>
                                  <a:noFill/>
                                </a:ln>
                              </pic:spPr>
                            </pic:pic>
                          </a:graphicData>
                        </a:graphic>
                      </wp:inline>
                    </w:drawing>
                  </w:r>
                </w:p>
              </w:tc>
              <w:tc>
                <w:tcPr>
                  <w:tcW w:w="1456"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drawing>
                      <wp:inline distT="0" distB="0" distL="114300" distR="114300">
                        <wp:extent cx="1299845" cy="963295"/>
                        <wp:effectExtent l="0" t="0" r="14605" b="8255"/>
                        <wp:docPr id="11" name="图片 11" descr="1747131919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47131919038"/>
                                <pic:cNvPicPr>
                                  <a:picLocks noChangeAspect="1"/>
                                </pic:cNvPicPr>
                              </pic:nvPicPr>
                              <pic:blipFill>
                                <a:blip r:embed="rId123"/>
                                <a:stretch>
                                  <a:fillRect/>
                                </a:stretch>
                              </pic:blipFill>
                              <pic:spPr>
                                <a:xfrm>
                                  <a:off x="0" y="0"/>
                                  <a:ext cx="1299845" cy="963295"/>
                                </a:xfrm>
                                <a:prstGeom prst="rect">
                                  <a:avLst/>
                                </a:prstGeom>
                              </pic:spPr>
                            </pic:pic>
                          </a:graphicData>
                        </a:graphic>
                      </wp:inline>
                    </w:drawing>
                  </w:r>
                </w:p>
              </w:tc>
              <w:tc>
                <w:tcPr>
                  <w:tcW w:w="863"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污水排放口</w:t>
                  </w:r>
                </w:p>
              </w:tc>
              <w:tc>
                <w:tcPr>
                  <w:tcW w:w="587" w:type="pct"/>
                  <w:vAlign w:val="center"/>
                </w:tcPr>
                <w:p>
                  <w:pPr>
                    <w:pStyle w:val="27"/>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表示污水向水体排放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092" w:type="pct"/>
                  <w:vAlign w:val="center"/>
                </w:tcPr>
                <w:p>
                  <w:pPr>
                    <w:pStyle w:val="27"/>
                    <w:jc w:val="center"/>
                    <w:rPr>
                      <w:rFonts w:hint="default" w:ascii="Times New Roman" w:hAnsi="Times New Roman" w:eastAsia="宋体"/>
                      <w:color w:val="auto"/>
                      <w:sz w:val="21"/>
                      <w:szCs w:val="21"/>
                      <w:highlight w:val="none"/>
                    </w:rPr>
                  </w:pPr>
                  <w:r>
                    <w:rPr>
                      <w:color w:val="auto"/>
                      <w:highlight w:val="none"/>
                    </w:rPr>
                    <w:drawing>
                      <wp:inline distT="0" distB="0" distL="114300" distR="114300">
                        <wp:extent cx="645160" cy="818515"/>
                        <wp:effectExtent l="0" t="0" r="2540" b="635"/>
                        <wp:docPr id="1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0"/>
                                <pic:cNvPicPr>
                                  <a:picLocks noChangeAspect="1"/>
                                </pic:cNvPicPr>
                              </pic:nvPicPr>
                              <pic:blipFill>
                                <a:blip r:embed="rId124"/>
                                <a:stretch>
                                  <a:fillRect/>
                                </a:stretch>
                              </pic:blipFill>
                              <pic:spPr>
                                <a:xfrm>
                                  <a:off x="0" y="0"/>
                                  <a:ext cx="645160" cy="818515"/>
                                </a:xfrm>
                                <a:prstGeom prst="rect">
                                  <a:avLst/>
                                </a:prstGeom>
                                <a:noFill/>
                                <a:ln>
                                  <a:noFill/>
                                </a:ln>
                              </pic:spPr>
                            </pic:pic>
                          </a:graphicData>
                        </a:graphic>
                      </wp:inline>
                    </w:drawing>
                  </w:r>
                  <w:r>
                    <w:rPr>
                      <w:rFonts w:eastAsia="宋体"/>
                      <w:color w:val="auto"/>
                      <w:highlight w:val="none"/>
                    </w:rPr>
                    <w:t xml:space="preserve"> </w:t>
                  </w:r>
                  <w:r>
                    <w:rPr>
                      <w:rFonts w:hint="default" w:ascii="Times New Roman" w:hAnsi="Times New Roman" w:eastAsia="宋体"/>
                      <w:color w:val="auto"/>
                      <w:sz w:val="21"/>
                      <w:szCs w:val="21"/>
                      <w:highlight w:val="none"/>
                    </w:rPr>
                    <w:drawing>
                      <wp:inline distT="0" distB="0" distL="114300" distR="114300">
                        <wp:extent cx="610235" cy="808355"/>
                        <wp:effectExtent l="0" t="0" r="18415" b="1079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125"/>
                                <a:stretch>
                                  <a:fillRect/>
                                </a:stretch>
                              </pic:blipFill>
                              <pic:spPr>
                                <a:xfrm>
                                  <a:off x="0" y="0"/>
                                  <a:ext cx="610235" cy="808355"/>
                                </a:xfrm>
                                <a:prstGeom prst="rect">
                                  <a:avLst/>
                                </a:prstGeom>
                                <a:noFill/>
                                <a:ln>
                                  <a:noFill/>
                                </a:ln>
                              </pic:spPr>
                            </pic:pic>
                          </a:graphicData>
                        </a:graphic>
                      </wp:inline>
                    </w:drawing>
                  </w:r>
                </w:p>
              </w:tc>
              <w:tc>
                <w:tcPr>
                  <w:tcW w:w="1456"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drawing>
                      <wp:inline distT="0" distB="0" distL="114300" distR="114300">
                        <wp:extent cx="1313815" cy="1038860"/>
                        <wp:effectExtent l="0" t="0" r="635" b="8890"/>
                        <wp:docPr id="13" name="图片 13" descr="174713199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47131993567"/>
                                <pic:cNvPicPr>
                                  <a:picLocks noChangeAspect="1"/>
                                </pic:cNvPicPr>
                              </pic:nvPicPr>
                              <pic:blipFill>
                                <a:blip r:embed="rId126"/>
                                <a:stretch>
                                  <a:fillRect/>
                                </a:stretch>
                              </pic:blipFill>
                              <pic:spPr>
                                <a:xfrm>
                                  <a:off x="0" y="0"/>
                                  <a:ext cx="1313815" cy="1038860"/>
                                </a:xfrm>
                                <a:prstGeom prst="rect">
                                  <a:avLst/>
                                </a:prstGeom>
                              </pic:spPr>
                            </pic:pic>
                          </a:graphicData>
                        </a:graphic>
                      </wp:inline>
                    </w:drawing>
                  </w:r>
                </w:p>
              </w:tc>
              <w:tc>
                <w:tcPr>
                  <w:tcW w:w="863"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废气排放口</w:t>
                  </w:r>
                </w:p>
              </w:tc>
              <w:tc>
                <w:tcPr>
                  <w:tcW w:w="587"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表示废气向大气排放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092" w:type="pct"/>
                  <w:vAlign w:val="center"/>
                </w:tcPr>
                <w:p>
                  <w:pPr>
                    <w:pStyle w:val="27"/>
                    <w:jc w:val="center"/>
                    <w:rPr>
                      <w:rFonts w:hint="default" w:eastAsia="宋体"/>
                      <w:color w:val="auto"/>
                      <w:highlight w:val="none"/>
                    </w:rPr>
                  </w:pPr>
                  <w:r>
                    <w:rPr>
                      <w:color w:val="auto"/>
                      <w:highlight w:val="none"/>
                    </w:rPr>
                    <w:drawing>
                      <wp:inline distT="0" distB="0" distL="114300" distR="114300">
                        <wp:extent cx="725805" cy="952500"/>
                        <wp:effectExtent l="0" t="0" r="17145" b="0"/>
                        <wp:docPr id="1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1"/>
                                <pic:cNvPicPr>
                                  <a:picLocks noChangeAspect="1"/>
                                </pic:cNvPicPr>
                              </pic:nvPicPr>
                              <pic:blipFill>
                                <a:blip r:embed="rId127"/>
                                <a:stretch>
                                  <a:fillRect/>
                                </a:stretch>
                              </pic:blipFill>
                              <pic:spPr>
                                <a:xfrm>
                                  <a:off x="0" y="0"/>
                                  <a:ext cx="725805" cy="952500"/>
                                </a:xfrm>
                                <a:prstGeom prst="rect">
                                  <a:avLst/>
                                </a:prstGeom>
                                <a:noFill/>
                                <a:ln>
                                  <a:noFill/>
                                </a:ln>
                              </pic:spPr>
                            </pic:pic>
                          </a:graphicData>
                        </a:graphic>
                      </wp:inline>
                    </w:drawing>
                  </w:r>
                  <w:r>
                    <w:rPr>
                      <w:rFonts w:eastAsia="宋体"/>
                      <w:color w:val="auto"/>
                      <w:highlight w:val="none"/>
                    </w:rPr>
                    <w:t xml:space="preserve"> </w:t>
                  </w:r>
                  <w:r>
                    <w:rPr>
                      <w:rFonts w:hint="default" w:ascii="Times New Roman" w:hAnsi="Times New Roman" w:eastAsia="宋体"/>
                      <w:color w:val="auto"/>
                      <w:sz w:val="21"/>
                      <w:szCs w:val="21"/>
                      <w:highlight w:val="none"/>
                    </w:rPr>
                    <w:drawing>
                      <wp:inline distT="0" distB="0" distL="114300" distR="114300">
                        <wp:extent cx="708025" cy="914400"/>
                        <wp:effectExtent l="0" t="0" r="15875" b="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128"/>
                                <a:stretch>
                                  <a:fillRect/>
                                </a:stretch>
                              </pic:blipFill>
                              <pic:spPr>
                                <a:xfrm>
                                  <a:off x="0" y="0"/>
                                  <a:ext cx="708025" cy="914400"/>
                                </a:xfrm>
                                <a:prstGeom prst="rect">
                                  <a:avLst/>
                                </a:prstGeom>
                                <a:noFill/>
                                <a:ln>
                                  <a:noFill/>
                                </a:ln>
                              </pic:spPr>
                            </pic:pic>
                          </a:graphicData>
                        </a:graphic>
                      </wp:inline>
                    </w:drawing>
                  </w:r>
                </w:p>
              </w:tc>
              <w:tc>
                <w:tcPr>
                  <w:tcW w:w="1456"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drawing>
                      <wp:inline distT="0" distB="0" distL="114300" distR="114300">
                        <wp:extent cx="1314450" cy="985520"/>
                        <wp:effectExtent l="0" t="0" r="0" b="5080"/>
                        <wp:docPr id="15" name="图片 15" descr="174713206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47132067935"/>
                                <pic:cNvPicPr>
                                  <a:picLocks noChangeAspect="1"/>
                                </pic:cNvPicPr>
                              </pic:nvPicPr>
                              <pic:blipFill>
                                <a:blip r:embed="rId129"/>
                                <a:stretch>
                                  <a:fillRect/>
                                </a:stretch>
                              </pic:blipFill>
                              <pic:spPr>
                                <a:xfrm>
                                  <a:off x="0" y="0"/>
                                  <a:ext cx="1314450" cy="985520"/>
                                </a:xfrm>
                                <a:prstGeom prst="rect">
                                  <a:avLst/>
                                </a:prstGeom>
                              </pic:spPr>
                            </pic:pic>
                          </a:graphicData>
                        </a:graphic>
                      </wp:inline>
                    </w:drawing>
                  </w:r>
                </w:p>
              </w:tc>
              <w:tc>
                <w:tcPr>
                  <w:tcW w:w="863"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噪声源</w:t>
                  </w:r>
                </w:p>
              </w:tc>
              <w:tc>
                <w:tcPr>
                  <w:tcW w:w="587"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表示噪声向外环境排放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2092" w:type="pct"/>
                  <w:vAlign w:val="center"/>
                </w:tcPr>
                <w:p>
                  <w:pPr>
                    <w:pStyle w:val="27"/>
                    <w:jc w:val="center"/>
                    <w:rPr>
                      <w:rFonts w:hint="default"/>
                      <w:color w:val="auto"/>
                      <w:highlight w:val="none"/>
                    </w:rPr>
                  </w:pPr>
                  <w:r>
                    <w:rPr>
                      <w:rFonts w:hint="default" w:ascii="Times New Roman" w:hAnsi="Times New Roman" w:eastAsia="宋体"/>
                      <w:color w:val="auto"/>
                      <w:sz w:val="21"/>
                      <w:szCs w:val="21"/>
                      <w:highlight w:val="none"/>
                    </w:rPr>
                    <w:drawing>
                      <wp:inline distT="0" distB="0" distL="114300" distR="114300">
                        <wp:extent cx="690245" cy="681355"/>
                        <wp:effectExtent l="0" t="0" r="14605" b="4445"/>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pic:cNvPicPr>
                              </pic:nvPicPr>
                              <pic:blipFill>
                                <a:blip r:embed="rId130"/>
                                <a:stretch>
                                  <a:fillRect/>
                                </a:stretch>
                              </pic:blipFill>
                              <pic:spPr>
                                <a:xfrm>
                                  <a:off x="0" y="0"/>
                                  <a:ext cx="690245" cy="681355"/>
                                </a:xfrm>
                                <a:prstGeom prst="rect">
                                  <a:avLst/>
                                </a:prstGeom>
                                <a:noFill/>
                                <a:ln>
                                  <a:noFill/>
                                </a:ln>
                              </pic:spPr>
                            </pic:pic>
                          </a:graphicData>
                        </a:graphic>
                      </wp:inline>
                    </w:drawing>
                  </w:r>
                </w:p>
              </w:tc>
              <w:tc>
                <w:tcPr>
                  <w:tcW w:w="1456" w:type="pct"/>
                  <w:vAlign w:val="center"/>
                </w:tcPr>
                <w:p>
                  <w:pPr>
                    <w:pStyle w:val="27"/>
                    <w:jc w:val="center"/>
                    <w:rPr>
                      <w:rFonts w:hint="default" w:ascii="Times New Roman" w:hAnsi="Times New Roman" w:eastAsia="宋体"/>
                      <w:color w:val="auto"/>
                      <w:sz w:val="21"/>
                      <w:szCs w:val="21"/>
                      <w:highlight w:val="none"/>
                    </w:rPr>
                  </w:pPr>
                </w:p>
              </w:tc>
              <w:tc>
                <w:tcPr>
                  <w:tcW w:w="863" w:type="pct"/>
                  <w:vAlign w:val="center"/>
                </w:tcPr>
                <w:p>
                  <w:pPr>
                    <w:pStyle w:val="27"/>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一般固体废物</w:t>
                  </w:r>
                </w:p>
              </w:tc>
              <w:tc>
                <w:tcPr>
                  <w:tcW w:w="587"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表示</w:t>
                  </w:r>
                  <w:r>
                    <w:rPr>
                      <w:rFonts w:hint="default" w:ascii="Times New Roman" w:hAnsi="Times New Roman" w:eastAsia="宋体"/>
                      <w:color w:val="auto"/>
                      <w:sz w:val="21"/>
                      <w:szCs w:val="21"/>
                      <w:highlight w:val="none"/>
                    </w:rPr>
                    <w:t>一般固体废物</w:t>
                  </w:r>
                  <w:r>
                    <w:rPr>
                      <w:rFonts w:ascii="Times New Roman" w:hAnsi="Times New Roman" w:eastAsia="宋体"/>
                      <w:color w:val="auto"/>
                      <w:sz w:val="21"/>
                      <w:szCs w:val="21"/>
                      <w:highlight w:val="none"/>
                    </w:rPr>
                    <w:t>暂存场所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5" w:hRule="atLeast"/>
                <w:jc w:val="center"/>
              </w:trPr>
              <w:tc>
                <w:tcPr>
                  <w:tcW w:w="2092" w:type="pct"/>
                  <w:vAlign w:val="center"/>
                </w:tcPr>
                <w:p>
                  <w:pPr>
                    <w:pStyle w:val="27"/>
                    <w:jc w:val="center"/>
                    <w:rPr>
                      <w:rFonts w:hint="default" w:ascii="Times New Roman" w:hAnsi="Times New Roman" w:eastAsia="宋体"/>
                      <w:color w:val="auto"/>
                      <w:sz w:val="21"/>
                      <w:szCs w:val="21"/>
                      <w:highlight w:val="none"/>
                    </w:rPr>
                  </w:pPr>
                </w:p>
              </w:tc>
              <w:tc>
                <w:tcPr>
                  <w:tcW w:w="1456"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drawing>
                      <wp:inline distT="0" distB="0" distL="114300" distR="114300">
                        <wp:extent cx="1313815" cy="825500"/>
                        <wp:effectExtent l="0" t="0" r="635" b="12700"/>
                        <wp:docPr id="16" name="图片 16" descr="174713214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47132143059"/>
                                <pic:cNvPicPr>
                                  <a:picLocks noChangeAspect="1"/>
                                </pic:cNvPicPr>
                              </pic:nvPicPr>
                              <pic:blipFill>
                                <a:blip r:embed="rId131"/>
                                <a:stretch>
                                  <a:fillRect/>
                                </a:stretch>
                              </pic:blipFill>
                              <pic:spPr>
                                <a:xfrm>
                                  <a:off x="0" y="0"/>
                                  <a:ext cx="1313815" cy="825500"/>
                                </a:xfrm>
                                <a:prstGeom prst="rect">
                                  <a:avLst/>
                                </a:prstGeom>
                              </pic:spPr>
                            </pic:pic>
                          </a:graphicData>
                        </a:graphic>
                      </wp:inline>
                    </w:drawing>
                  </w:r>
                </w:p>
              </w:tc>
              <w:tc>
                <w:tcPr>
                  <w:tcW w:w="863" w:type="pct"/>
                  <w:vAlign w:val="center"/>
                </w:tcPr>
                <w:p>
                  <w:pPr>
                    <w:pStyle w:val="27"/>
                    <w:jc w:val="center"/>
                    <w:rPr>
                      <w:rFonts w:hint="default" w:ascii="Times New Roman" w:hAnsi="Times New Roman" w:eastAsia="宋体"/>
                      <w:color w:val="auto"/>
                      <w:sz w:val="21"/>
                      <w:szCs w:val="21"/>
                      <w:highlight w:val="none"/>
                    </w:rPr>
                  </w:pPr>
                  <w:r>
                    <w:rPr>
                      <w:rFonts w:ascii="Times New Roman" w:hAnsi="Times New Roman" w:eastAsia="宋体"/>
                      <w:color w:val="auto"/>
                      <w:sz w:val="21"/>
                      <w:szCs w:val="21"/>
                      <w:highlight w:val="none"/>
                    </w:rPr>
                    <w:t>危险废物储存</w:t>
                  </w:r>
                </w:p>
              </w:tc>
              <w:tc>
                <w:tcPr>
                  <w:tcW w:w="587" w:type="pct"/>
                  <w:vAlign w:val="center"/>
                </w:tcPr>
                <w:p>
                  <w:pPr>
                    <w:pStyle w:val="27"/>
                    <w:jc w:val="center"/>
                    <w:rPr>
                      <w:rFonts w:hint="default" w:ascii="Times New Roman" w:hAnsi="Times New Roman" w:eastAsia="宋体"/>
                      <w:color w:val="auto"/>
                      <w:sz w:val="21"/>
                      <w:szCs w:val="21"/>
                      <w:highlight w:val="none"/>
                    </w:rPr>
                  </w:pPr>
                  <w:r>
                    <w:rPr>
                      <w:rFonts w:hint="default" w:ascii="Times New Roman" w:hAnsi="Times New Roman" w:eastAsia="宋体"/>
                      <w:color w:val="auto"/>
                      <w:sz w:val="21"/>
                      <w:szCs w:val="21"/>
                      <w:highlight w:val="none"/>
                    </w:rPr>
                    <w:t>表示危险废物储存处置场所</w:t>
                  </w:r>
                </w:p>
              </w:tc>
            </w:tr>
          </w:tbl>
          <w:p>
            <w:pPr>
              <w:pStyle w:val="33"/>
              <w:rPr>
                <w:color w:val="auto"/>
                <w:highlight w:val="none"/>
              </w:rPr>
            </w:pPr>
          </w:p>
          <w:p>
            <w:pPr>
              <w:pStyle w:val="32"/>
              <w:ind w:firstLine="480"/>
              <w:rPr>
                <w:color w:val="auto"/>
                <w:highlight w:val="none"/>
              </w:rPr>
            </w:pPr>
            <w:r>
              <w:rPr>
                <w:color w:val="auto"/>
                <w:highlight w:val="none"/>
              </w:rPr>
              <w:t>③排污口管理</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A、</w:t>
            </w:r>
            <w:r>
              <w:rPr>
                <w:rFonts w:hint="default" w:ascii="Times New Roman" w:hAnsi="Times New Roman" w:eastAsia="宋体"/>
                <w:color w:val="auto"/>
                <w:szCs w:val="24"/>
                <w:highlight w:val="none"/>
              </w:rPr>
              <w:t>建设单位在各排污口处设立较明显的排污口标志牌，其上注明主要排放污染物的名称以警示周围群众。</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B、</w:t>
            </w:r>
            <w:r>
              <w:rPr>
                <w:rFonts w:hint="default" w:ascii="Times New Roman" w:hAnsi="Times New Roman" w:eastAsia="宋体"/>
                <w:color w:val="auto"/>
                <w:szCs w:val="24"/>
                <w:highlight w:val="none"/>
              </w:rPr>
              <w:t>建设单位将有关排污口的情况，如：排污口的性质、编号，排污口的位置；主要排放的污染物种类、数量、浓度、排放规律、排放去向；污染治理设施的运行情况等进行建档管理，并报送</w:t>
            </w:r>
            <w:r>
              <w:rPr>
                <w:rFonts w:ascii="Times New Roman" w:hAnsi="Times New Roman" w:eastAsia="宋体"/>
                <w:color w:val="auto"/>
                <w:szCs w:val="24"/>
                <w:highlight w:val="none"/>
              </w:rPr>
              <w:t>生态环境</w:t>
            </w:r>
            <w:r>
              <w:rPr>
                <w:rFonts w:hint="default" w:ascii="Times New Roman" w:hAnsi="Times New Roman" w:eastAsia="宋体"/>
                <w:color w:val="auto"/>
                <w:szCs w:val="24"/>
                <w:highlight w:val="none"/>
              </w:rPr>
              <w:t>主管部门备案。</w:t>
            </w:r>
          </w:p>
          <w:p>
            <w:pPr>
              <w:spacing w:line="360" w:lineRule="auto"/>
              <w:ind w:firstLine="480" w:firstLineChars="200"/>
              <w:rPr>
                <w:color w:val="auto"/>
                <w:sz w:val="24"/>
                <w:highlight w:val="none"/>
                <w:shd w:val="clear" w:color="auto" w:fill="FFFFFF"/>
              </w:rPr>
            </w:pPr>
            <w:r>
              <w:rPr>
                <w:rFonts w:hint="eastAsia"/>
                <w:color w:val="auto"/>
                <w:sz w:val="24"/>
                <w:highlight w:val="none"/>
                <w:shd w:val="clear" w:color="auto" w:fill="FFFFFF"/>
              </w:rPr>
              <w:t>（3）环保信息公开</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根据《企业事业单位环境信息公开办法》（环境保护部令第</w:t>
            </w:r>
            <w:r>
              <w:rPr>
                <w:rFonts w:hint="default" w:ascii="Times New Roman" w:hAnsi="Times New Roman" w:eastAsia="宋体"/>
                <w:color w:val="auto"/>
                <w:szCs w:val="24"/>
                <w:highlight w:val="none"/>
              </w:rPr>
              <w:t>31</w:t>
            </w:r>
            <w:r>
              <w:rPr>
                <w:rFonts w:ascii="Times New Roman" w:hAnsi="Times New Roman" w:eastAsia="宋体"/>
                <w:color w:val="auto"/>
                <w:szCs w:val="24"/>
                <w:highlight w:val="none"/>
              </w:rPr>
              <w:t>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（一）基础信息，包括单位名称、统一社会信用代码、法定代表人、生产地址、联系方式，以及生产经营和管理服务的主要内容、产品及规模；</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（二）排污信息，包括主要污染物及其他污染物的名称、排放方式、排放口数量和分布情况、排放浓度和总量、超标情况，以及执行的污染物排放标准、核定的排放总量；</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（三）防治污染设施的建设和运行情况；</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（四）建设项目环境影响评价及其他环境保护行政许可情况；</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（五）其他应当公开的环境信息。</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建设单位应按照上述要求公开建设项目的相关信息，采取的信息公开途径可包括：</w:t>
            </w:r>
            <w:r>
              <w:rPr>
                <w:rFonts w:hint="default" w:ascii="Times New Roman" w:hAnsi="Times New Roman" w:eastAsia="宋体"/>
                <w:color w:val="auto"/>
                <w:szCs w:val="24"/>
                <w:highlight w:val="none"/>
              </w:rPr>
              <w:t>①</w:t>
            </w:r>
            <w:r>
              <w:rPr>
                <w:rFonts w:ascii="Times New Roman" w:hAnsi="Times New Roman" w:eastAsia="宋体"/>
                <w:color w:val="auto"/>
                <w:szCs w:val="24"/>
                <w:highlight w:val="none"/>
              </w:rPr>
              <w:t>公告或者公开发行的信息专刊；</w:t>
            </w:r>
            <w:r>
              <w:rPr>
                <w:rFonts w:hint="default" w:ascii="Times New Roman" w:hAnsi="Times New Roman" w:eastAsia="宋体"/>
                <w:color w:val="auto"/>
                <w:szCs w:val="24"/>
                <w:highlight w:val="none"/>
              </w:rPr>
              <w:t>②</w:t>
            </w:r>
            <w:r>
              <w:rPr>
                <w:rFonts w:ascii="Times New Roman" w:hAnsi="Times New Roman" w:eastAsia="宋体"/>
                <w:color w:val="auto"/>
                <w:szCs w:val="24"/>
                <w:highlight w:val="none"/>
              </w:rPr>
              <w:t>广播、电视等新闻媒体；</w:t>
            </w:r>
            <w:r>
              <w:rPr>
                <w:rFonts w:hint="default" w:ascii="Times New Roman" w:hAnsi="Times New Roman" w:eastAsia="宋体"/>
                <w:color w:val="auto"/>
                <w:szCs w:val="24"/>
                <w:highlight w:val="none"/>
              </w:rPr>
              <w:t>③</w:t>
            </w:r>
            <w:r>
              <w:rPr>
                <w:rFonts w:ascii="Times New Roman" w:hAnsi="Times New Roman" w:eastAsia="宋体"/>
                <w:color w:val="auto"/>
                <w:szCs w:val="24"/>
                <w:highlight w:val="none"/>
              </w:rPr>
              <w:t>信息公开服务、监督热线电话；</w:t>
            </w:r>
            <w:r>
              <w:rPr>
                <w:rFonts w:hint="default" w:ascii="Times New Roman" w:hAnsi="Times New Roman" w:eastAsia="宋体"/>
                <w:color w:val="auto"/>
                <w:szCs w:val="24"/>
                <w:highlight w:val="none"/>
              </w:rPr>
              <w:t>④</w:t>
            </w:r>
            <w:r>
              <w:rPr>
                <w:rFonts w:ascii="Times New Roman" w:hAnsi="Times New Roman" w:eastAsia="宋体"/>
                <w:color w:val="auto"/>
                <w:szCs w:val="24"/>
                <w:highlight w:val="none"/>
              </w:rPr>
              <w:t>本单位的资料索取点、信息公开栏、信息亭、电子屏幕、电子触摸屏等场所或者设施；</w:t>
            </w:r>
            <w:r>
              <w:rPr>
                <w:rFonts w:hint="default" w:ascii="Times New Roman" w:hAnsi="Times New Roman" w:eastAsia="宋体"/>
                <w:color w:val="auto"/>
                <w:szCs w:val="24"/>
                <w:highlight w:val="none"/>
              </w:rPr>
              <w:t>⑤</w:t>
            </w:r>
            <w:r>
              <w:rPr>
                <w:rFonts w:ascii="Times New Roman" w:hAnsi="Times New Roman" w:eastAsia="宋体"/>
                <w:color w:val="auto"/>
                <w:szCs w:val="24"/>
                <w:highlight w:val="none"/>
              </w:rPr>
              <w:t>其他便于公众及时、准确获得信息的方式。</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（4）排污许可管理</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根据《排污许可管理条例》（国务院令第736号）和《排污许可管理办法》（生态环境部令第32号），依照法律规定实行排污许可管理的企业事业单位和其他生产经营者（以下称排污单位），应当依照本条例规定申请取得排污许可证；未取得排污许可证的，不得排放污染物。</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根据《固定污染源排污许可分类管理名录（2019版）》，拟建项目属于“五、有色金属矿采选业09”“6.常用有色金属矿采选091”中的“其他”类别，项目属于实施排污许可登记管理的行业。</w:t>
            </w:r>
          </w:p>
          <w:p>
            <w:pPr>
              <w:pStyle w:val="27"/>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项目获得审批部门批复后，建设单位应及时在全国排污许可证管理信息平台填报排污登记。</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（5）自主竣工环境保护验收要求</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根据国务院［2022国令第682号］《建设项目环境保护管理条例》及《建设项目竣工环境保护验收暂行办法》（国环规环评〔2017〕4号），强化建设单位环境保护主体责任，落实建设项目环境保护“三同时”制度，规范建设项目竣工后建设单位自主开展环境保护验收的程序和标准。建设单位是建设项目竣工环境保护验收的责任主体。</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根据原环境保护部《建设项目竣工环境保护验收技术指南 污染影响类》（公告2018年第9号）中有关要求：项目竣工后，建设单位应对该项目进行环保竣工验收，委托有资质的监测单位进行项目竣工环境保护验收监测，编制项目竣工环境保护验收监测报告，形成验收意见，并向社会公开。经验收合格，该建设项目方可正式投入生产或使用。</w:t>
            </w:r>
          </w:p>
          <w:p>
            <w:pPr>
              <w:pStyle w:val="27"/>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（6）环境管理机构</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建设单位应设置专职的环保机构，配备专职的环境管理人员，负责拟建项目环保设施的运行监督及其操作人员的管理，并做好如下工作：</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①贯彻执行环保法律法规和环境标准，编制并组织实施全厂的环境保护规划和计划，并对执行情况进行监督；</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②制定生产过程中各项污染物的排放指标和各项环保设施运转指标，定期考核统计，向公司和生态环境行政主管部门汇报；</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③将环保工作的措施和指标落实到各个车间班组，并制定相应的奖惩办法，定期监督检查各部门执行环保法规的情况；</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④在生产检修期间，应组织人员对环保设施进行全面检修，确保环保设备正常有效地运行；</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⑤负责组织与领导环境监测与统计工作，掌握污染动态，提出改善措施；</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⑥负责企业与地方各级生态环境行政主管部门的联系与协调工作。</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ascii="Times New Roman" w:hAnsi="Times New Roman" w:eastAsia="宋体"/>
                <w:color w:val="auto"/>
                <w:szCs w:val="24"/>
                <w:highlight w:val="none"/>
              </w:rPr>
              <w:t>（7）</w:t>
            </w:r>
            <w:r>
              <w:rPr>
                <w:rFonts w:hint="default" w:ascii="Times New Roman" w:hAnsi="Times New Roman" w:eastAsia="宋体"/>
                <w:color w:val="auto"/>
                <w:szCs w:val="24"/>
                <w:highlight w:val="none"/>
              </w:rPr>
              <w:t>环境管理制度及台账</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按照《排污单位自行监测技术指南总则》（HJ819-2017）中的要求开展自行监测，进行信息公开；建立环境管理台账记录制度，落实环境管理台账记录的责任部门和责任人，明确工作职责，包括台账的记录、整理、维护和管理等，台账记录频次和内容须满足排污许可证环境管理要求，并保障台账记录结果的真实性、完整性和规范性。记录保存期限不少于5年。</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废气：严格执行安全操作规程，建立检查维护制度，废气处理设施需由专人维护保养并挂牌明示。做好废气处理设施的日常运行记录，建立管理台账，了解处理设施的动态信息，确保废气处理设施的正常运行。</w:t>
            </w:r>
          </w:p>
          <w:p>
            <w:pPr>
              <w:pStyle w:val="27"/>
              <w:tabs>
                <w:tab w:val="left" w:pos="1554"/>
              </w:tabs>
              <w:spacing w:line="360" w:lineRule="auto"/>
              <w:ind w:firstLine="480" w:firstLineChars="200"/>
              <w:rPr>
                <w:rFonts w:hint="default" w:ascii="Times New Roman" w:hAnsi="Times New Roman" w:eastAsia="宋体"/>
                <w:color w:val="auto"/>
                <w:szCs w:val="24"/>
                <w:highlight w:val="none"/>
              </w:rPr>
            </w:pPr>
            <w:r>
              <w:rPr>
                <w:rFonts w:hint="default" w:ascii="Times New Roman" w:hAnsi="Times New Roman" w:eastAsia="宋体"/>
                <w:color w:val="auto"/>
                <w:szCs w:val="24"/>
                <w:highlight w:val="none"/>
              </w:rPr>
              <w:t>固体废物：建立固体废物产生、贮存、处理处置台账管理制度，每月进行统计汇总一次；做好危险废物管理，建立危险废物产生、贮存、转移、处置台账记录及危废暂存间进入库记录，严格执行危险废物转移“五联单”制度及危险废物交接制度。</w:t>
            </w:r>
          </w:p>
        </w:tc>
      </w:tr>
    </w:tbl>
    <w:p>
      <w:pPr>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rPr>
        <w:br w:type="page"/>
      </w:r>
    </w:p>
    <w:p>
      <w:pPr>
        <w:pStyle w:val="16"/>
        <w:jc w:val="center"/>
        <w:outlineLvl w:val="0"/>
        <w:rPr>
          <w:rFonts w:hint="eastAsia" w:ascii="黑体" w:hAnsi="黑体" w:eastAsia="黑体"/>
          <w:snapToGrid w:val="0"/>
          <w:color w:val="auto"/>
          <w:sz w:val="30"/>
          <w:szCs w:val="30"/>
          <w:highlight w:val="none"/>
        </w:rPr>
      </w:pPr>
      <w:bookmarkStart w:id="32" w:name="_Toc1432"/>
      <w:r>
        <w:rPr>
          <w:rFonts w:hint="eastAsia" w:ascii="黑体" w:hAnsi="黑体" w:eastAsia="黑体"/>
          <w:snapToGrid w:val="0"/>
          <w:color w:val="auto"/>
          <w:sz w:val="30"/>
          <w:szCs w:val="30"/>
          <w:highlight w:val="none"/>
        </w:rPr>
        <w:t>六、结论</w:t>
      </w:r>
      <w:bookmarkEnd w:id="31"/>
      <w:bookmarkEnd w:id="32"/>
    </w:p>
    <w:tbl>
      <w:tblPr>
        <w:tblStyle w:val="20"/>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djustRightInd w:val="0"/>
              <w:snapToGrid w:val="0"/>
              <w:spacing w:line="360" w:lineRule="auto"/>
              <w:ind w:firstLine="480" w:firstLineChars="200"/>
              <w:rPr>
                <w:color w:val="auto"/>
                <w:sz w:val="24"/>
                <w:highlight w:val="none"/>
              </w:rPr>
            </w:pPr>
            <w:r>
              <w:rPr>
                <w:rFonts w:hint="eastAsia"/>
                <w:color w:val="auto"/>
                <w:sz w:val="24"/>
                <w:highlight w:val="none"/>
                <w:lang w:val="en-US" w:eastAsia="zh-CN"/>
              </w:rPr>
              <w:t>中矿宁德</w:t>
            </w:r>
            <w:r>
              <w:rPr>
                <w:rFonts w:hint="eastAsia"/>
                <w:color w:val="auto"/>
                <w:sz w:val="24"/>
                <w:highlight w:val="none"/>
              </w:rPr>
              <w:t>保税物流中心（B型）混矿项目</w:t>
            </w:r>
            <w:r>
              <w:rPr>
                <w:color w:val="auto"/>
                <w:sz w:val="24"/>
                <w:highlight w:val="none"/>
              </w:rPr>
              <w:t>位于宁德市蕉城区宁德保税物流中心（B型）</w:t>
            </w:r>
            <w:r>
              <w:rPr>
                <w:rFonts w:hint="eastAsia"/>
                <w:color w:val="auto"/>
                <w:sz w:val="24"/>
                <w:highlight w:val="none"/>
              </w:rPr>
              <w:t>内</w:t>
            </w:r>
            <w:r>
              <w:rPr>
                <w:rFonts w:hint="eastAsia"/>
                <w:snapToGrid w:val="0"/>
                <w:color w:val="auto"/>
                <w:kern w:val="0"/>
                <w:sz w:val="24"/>
                <w:szCs w:val="21"/>
                <w:highlight w:val="none"/>
              </w:rPr>
              <w:t>，该项目租</w:t>
            </w:r>
            <w:r>
              <w:rPr>
                <w:rFonts w:hint="eastAsia"/>
                <w:snapToGrid w:val="0"/>
                <w:color w:val="auto"/>
                <w:kern w:val="0"/>
                <w:sz w:val="24"/>
                <w:szCs w:val="21"/>
                <w:highlight w:val="none"/>
                <w:lang w:val="en-US" w:eastAsia="zh-CN"/>
              </w:rPr>
              <w:t>用</w:t>
            </w:r>
            <w:r>
              <w:rPr>
                <w:rFonts w:hint="eastAsia"/>
                <w:snapToGrid w:val="0"/>
                <w:color w:val="auto"/>
                <w:kern w:val="0"/>
                <w:sz w:val="24"/>
                <w:szCs w:val="21"/>
                <w:highlight w:val="none"/>
              </w:rPr>
              <w:t>宁德保税物流中心（B型）内</w:t>
            </w:r>
            <w:r>
              <w:rPr>
                <w:rFonts w:hint="eastAsia"/>
                <w:snapToGrid w:val="0"/>
                <w:color w:val="auto"/>
                <w:kern w:val="0"/>
                <w:sz w:val="24"/>
                <w:szCs w:val="21"/>
                <w:highlight w:val="none"/>
                <w:lang w:val="en-US" w:eastAsia="zh-CN"/>
              </w:rPr>
              <w:t>用地</w:t>
            </w:r>
            <w:r>
              <w:rPr>
                <w:rFonts w:hint="eastAsia"/>
                <w:snapToGrid w:val="0"/>
                <w:color w:val="auto"/>
                <w:kern w:val="0"/>
                <w:sz w:val="24"/>
                <w:szCs w:val="21"/>
                <w:highlight w:val="none"/>
              </w:rPr>
              <w:t>进行</w:t>
            </w:r>
            <w:r>
              <w:rPr>
                <w:rFonts w:hint="eastAsia"/>
                <w:snapToGrid w:val="0"/>
                <w:color w:val="auto"/>
                <w:kern w:val="0"/>
                <w:sz w:val="24"/>
                <w:szCs w:val="21"/>
                <w:highlight w:val="none"/>
                <w:lang w:val="en-US" w:eastAsia="zh-CN"/>
              </w:rPr>
              <w:t>建设</w:t>
            </w:r>
            <w:r>
              <w:rPr>
                <w:rFonts w:hint="eastAsia"/>
                <w:snapToGrid w:val="0"/>
                <w:color w:val="auto"/>
                <w:kern w:val="0"/>
                <w:sz w:val="24"/>
                <w:szCs w:val="21"/>
                <w:highlight w:val="none"/>
              </w:rPr>
              <w:t>，</w:t>
            </w:r>
            <w:r>
              <w:rPr>
                <w:color w:val="auto"/>
                <w:sz w:val="24"/>
                <w:highlight w:val="none"/>
              </w:rPr>
              <w:t>符合当前国家和福建省产业政策和环保要求，选址符合</w:t>
            </w:r>
            <w:r>
              <w:rPr>
                <w:rFonts w:hint="eastAsia"/>
                <w:color w:val="auto"/>
                <w:sz w:val="24"/>
                <w:highlight w:val="none"/>
              </w:rPr>
              <w:t>宁德市</w:t>
            </w:r>
            <w:r>
              <w:rPr>
                <w:rFonts w:hint="eastAsia"/>
                <w:color w:val="auto"/>
                <w:sz w:val="24"/>
                <w:highlight w:val="none"/>
                <w:lang w:val="en-US" w:eastAsia="zh-CN"/>
              </w:rPr>
              <w:t>生态环境分区</w:t>
            </w:r>
            <w:r>
              <w:rPr>
                <w:rFonts w:hint="eastAsia"/>
                <w:color w:val="auto"/>
                <w:sz w:val="24"/>
                <w:highlight w:val="none"/>
              </w:rPr>
              <w:t>管控要求</w:t>
            </w:r>
            <w:r>
              <w:rPr>
                <w:color w:val="auto"/>
                <w:sz w:val="24"/>
                <w:highlight w:val="none"/>
              </w:rPr>
              <w:t>。</w:t>
            </w:r>
            <w:r>
              <w:rPr>
                <w:rFonts w:hint="eastAsia"/>
                <w:color w:val="auto"/>
                <w:sz w:val="24"/>
                <w:highlight w:val="none"/>
              </w:rPr>
              <w:t>项目采用的工艺技术可行，拟采取的环保措施可行，各项污染物经处理后可实现达标排放，污染物正常排放不会导致区域环境质量的明显降低，区域环境质量能满足环境功能区划的要求。因此，</w:t>
            </w:r>
            <w:r>
              <w:rPr>
                <w:color w:val="auto"/>
                <w:sz w:val="24"/>
                <w:highlight w:val="none"/>
              </w:rPr>
              <w:t>在严格执行环保</w:t>
            </w:r>
            <w:r>
              <w:rPr>
                <w:rFonts w:hint="eastAsia"/>
                <w:color w:val="auto"/>
                <w:sz w:val="24"/>
                <w:highlight w:val="none"/>
              </w:rPr>
              <w:t>“</w:t>
            </w:r>
            <w:r>
              <w:rPr>
                <w:color w:val="auto"/>
                <w:sz w:val="24"/>
                <w:highlight w:val="none"/>
              </w:rPr>
              <w:t>三同时</w:t>
            </w:r>
            <w:r>
              <w:rPr>
                <w:rFonts w:hint="eastAsia"/>
                <w:color w:val="auto"/>
                <w:sz w:val="24"/>
                <w:highlight w:val="none"/>
              </w:rPr>
              <w:t>”</w:t>
            </w:r>
            <w:r>
              <w:rPr>
                <w:color w:val="auto"/>
                <w:sz w:val="24"/>
                <w:highlight w:val="none"/>
              </w:rPr>
              <w:t>制度，认真落实环评提出的各项环保措施、环境风险防范</w:t>
            </w:r>
            <w:r>
              <w:rPr>
                <w:rFonts w:hint="eastAsia"/>
                <w:color w:val="auto"/>
                <w:sz w:val="24"/>
                <w:highlight w:val="none"/>
              </w:rPr>
              <w:t>措施、</w:t>
            </w:r>
            <w:r>
              <w:rPr>
                <w:color w:val="auto"/>
                <w:sz w:val="24"/>
                <w:highlight w:val="none"/>
              </w:rPr>
              <w:t>加强环境管理</w:t>
            </w:r>
            <w:r>
              <w:rPr>
                <w:rFonts w:hint="eastAsia"/>
                <w:color w:val="auto"/>
                <w:sz w:val="24"/>
                <w:highlight w:val="none"/>
              </w:rPr>
              <w:t>的前提下</w:t>
            </w:r>
            <w:r>
              <w:rPr>
                <w:color w:val="auto"/>
                <w:sz w:val="24"/>
                <w:highlight w:val="none"/>
              </w:rPr>
              <w:t>，从环境</w:t>
            </w:r>
            <w:r>
              <w:rPr>
                <w:rFonts w:hint="eastAsia"/>
                <w:color w:val="auto"/>
                <w:sz w:val="24"/>
                <w:highlight w:val="none"/>
              </w:rPr>
              <w:t>影响</w:t>
            </w:r>
            <w:r>
              <w:rPr>
                <w:color w:val="auto"/>
                <w:sz w:val="24"/>
                <w:highlight w:val="none"/>
              </w:rPr>
              <w:t>角度分析，本</w:t>
            </w:r>
            <w:r>
              <w:rPr>
                <w:rFonts w:hint="eastAsia"/>
                <w:color w:val="auto"/>
                <w:sz w:val="24"/>
                <w:highlight w:val="none"/>
              </w:rPr>
              <w:t>项目</w:t>
            </w:r>
            <w:r>
              <w:rPr>
                <w:color w:val="auto"/>
                <w:sz w:val="24"/>
                <w:highlight w:val="none"/>
              </w:rPr>
              <w:t>建设是可行的。</w:t>
            </w: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0" w:firstLineChars="200"/>
              <w:rPr>
                <w:color w:val="auto"/>
                <w:sz w:val="24"/>
                <w:highlight w:val="none"/>
              </w:rPr>
            </w:pPr>
          </w:p>
          <w:p>
            <w:pPr>
              <w:adjustRightInd w:val="0"/>
              <w:snapToGrid w:val="0"/>
              <w:spacing w:line="360" w:lineRule="auto"/>
              <w:ind w:firstLine="482" w:firstLineChars="200"/>
              <w:jc w:val="right"/>
              <w:rPr>
                <w:rFonts w:hint="eastAsia"/>
                <w:b/>
                <w:bCs/>
                <w:color w:val="auto"/>
                <w:sz w:val="24"/>
                <w:highlight w:val="none"/>
                <w:lang w:val="en-US" w:eastAsia="zh-CN"/>
              </w:rPr>
            </w:pPr>
            <w:r>
              <w:rPr>
                <w:rFonts w:hint="eastAsia"/>
                <w:b/>
                <w:bCs/>
                <w:color w:val="auto"/>
                <w:sz w:val="24"/>
                <w:highlight w:val="none"/>
                <w:lang w:val="en-US" w:eastAsia="zh-CN"/>
              </w:rPr>
              <w:t>福建省金皇环保科技股份有限公司</w:t>
            </w:r>
          </w:p>
          <w:p>
            <w:pPr>
              <w:adjustRightInd w:val="0"/>
              <w:snapToGrid w:val="0"/>
              <w:spacing w:line="360" w:lineRule="auto"/>
              <w:ind w:firstLine="482" w:firstLineChars="200"/>
              <w:jc w:val="right"/>
              <w:rPr>
                <w:rFonts w:hint="default"/>
                <w:b/>
                <w:bCs/>
                <w:color w:val="auto"/>
                <w:sz w:val="24"/>
                <w:highlight w:val="none"/>
                <w:lang w:val="en-US" w:eastAsia="zh-CN"/>
              </w:rPr>
            </w:pPr>
            <w:r>
              <w:rPr>
                <w:rFonts w:hint="eastAsia"/>
                <w:b/>
                <w:bCs/>
                <w:color w:val="auto"/>
                <w:sz w:val="24"/>
                <w:highlight w:val="none"/>
                <w:lang w:val="en-US" w:eastAsia="zh-CN"/>
              </w:rPr>
              <w:t>2026年5月</w:t>
            </w:r>
          </w:p>
          <w:p>
            <w:pPr>
              <w:adjustRightInd w:val="0"/>
              <w:snapToGrid w:val="0"/>
              <w:spacing w:line="360" w:lineRule="auto"/>
              <w:ind w:firstLine="480" w:firstLineChars="200"/>
              <w:jc w:val="right"/>
              <w:rPr>
                <w:color w:val="auto"/>
                <w:sz w:val="24"/>
                <w:highlight w:val="none"/>
              </w:rPr>
            </w:pPr>
          </w:p>
        </w:tc>
      </w:tr>
    </w:tbl>
    <w:p>
      <w:pPr>
        <w:pStyle w:val="27"/>
        <w:rPr>
          <w:rFonts w:hint="default"/>
          <w:color w:val="auto"/>
          <w:highlight w:val="none"/>
        </w:rPr>
        <w:sectPr>
          <w:pgSz w:w="11906" w:h="16838"/>
          <w:pgMar w:top="1417" w:right="1304" w:bottom="1304" w:left="1304" w:header="851" w:footer="992" w:gutter="0"/>
          <w:cols w:space="425" w:num="1"/>
          <w:docGrid w:type="lines" w:linePitch="312" w:charSpace="0"/>
        </w:sectPr>
      </w:pPr>
    </w:p>
    <w:p>
      <w:pPr>
        <w:pStyle w:val="16"/>
        <w:adjustRightInd w:val="0"/>
        <w:snapToGrid w:val="0"/>
        <w:spacing w:before="0" w:beforeAutospacing="0" w:after="0" w:afterAutospacing="0" w:line="360" w:lineRule="auto"/>
        <w:outlineLvl w:val="0"/>
        <w:rPr>
          <w:rFonts w:hint="eastAsia" w:ascii="黑体" w:hAnsi="黑体" w:eastAsia="黑体"/>
          <w:snapToGrid w:val="0"/>
          <w:color w:val="auto"/>
          <w:sz w:val="32"/>
          <w:szCs w:val="32"/>
          <w:highlight w:val="none"/>
        </w:rPr>
      </w:pPr>
      <w:bookmarkStart w:id="33" w:name="_Toc20561"/>
      <w:bookmarkStart w:id="34" w:name="_Toc28075"/>
      <w:r>
        <w:rPr>
          <w:rFonts w:hint="eastAsia" w:ascii="黑体" w:hAnsi="黑体" w:eastAsia="黑体"/>
          <w:snapToGrid w:val="0"/>
          <w:color w:val="auto"/>
          <w:sz w:val="32"/>
          <w:szCs w:val="32"/>
          <w:highlight w:val="none"/>
        </w:rPr>
        <w:t>附表</w:t>
      </w:r>
      <w:bookmarkEnd w:id="33"/>
      <w:bookmarkEnd w:id="34"/>
    </w:p>
    <w:p>
      <w:pPr>
        <w:pStyle w:val="16"/>
        <w:adjustRightInd w:val="0"/>
        <w:snapToGrid w:val="0"/>
        <w:spacing w:before="0" w:beforeAutospacing="0" w:after="0" w:afterAutospacing="0"/>
        <w:jc w:val="center"/>
        <w:outlineLvl w:val="0"/>
        <w:rPr>
          <w:rFonts w:hint="eastAsia" w:ascii="方正小标宋_GBK" w:hAnsi="黑体" w:eastAsia="方正小标宋_GBK"/>
          <w:snapToGrid w:val="0"/>
          <w:color w:val="auto"/>
          <w:sz w:val="38"/>
          <w:szCs w:val="38"/>
          <w:highlight w:val="none"/>
        </w:rPr>
      </w:pPr>
      <w:bookmarkStart w:id="35" w:name="_Toc16730"/>
      <w:bookmarkStart w:id="36" w:name="_Toc31913"/>
      <w:bookmarkStart w:id="37" w:name="_Toc11485"/>
      <w:r>
        <w:rPr>
          <w:rFonts w:hint="eastAsia" w:cs="宋体"/>
          <w:b/>
          <w:bCs/>
          <w:snapToGrid w:val="0"/>
          <w:color w:val="auto"/>
          <w:sz w:val="38"/>
          <w:szCs w:val="38"/>
          <w:highlight w:val="none"/>
        </w:rPr>
        <w:t>建设项目污染物排放量汇总表</w:t>
      </w:r>
      <w:bookmarkEnd w:id="35"/>
      <w:bookmarkEnd w:id="36"/>
      <w:bookmarkEnd w:id="37"/>
    </w:p>
    <w:tbl>
      <w:tblPr>
        <w:tblStyle w:val="20"/>
        <w:tblW w:w="1416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91"/>
        <w:gridCol w:w="1612"/>
        <w:gridCol w:w="1512"/>
        <w:gridCol w:w="1279"/>
        <w:gridCol w:w="1705"/>
        <w:gridCol w:w="1562"/>
        <w:gridCol w:w="1764"/>
        <w:gridCol w:w="1851"/>
        <w:gridCol w:w="12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 w:hRule="atLeast"/>
          <w:tblHeader/>
        </w:trPr>
        <w:tc>
          <w:tcPr>
            <w:tcW w:w="1591" w:type="dxa"/>
            <w:tcBorders>
              <w:tl2br w:val="single" w:color="auto" w:sz="4" w:space="0"/>
            </w:tcBorders>
            <w:tcMar>
              <w:left w:w="28" w:type="dxa"/>
              <w:right w:w="28" w:type="dxa"/>
            </w:tcMar>
            <w:vAlign w:val="center"/>
          </w:tcPr>
          <w:p>
            <w:pPr>
              <w:pStyle w:val="55"/>
              <w:spacing w:beforeLines="0" w:afterLines="0" w:line="240" w:lineRule="auto"/>
              <w:jc w:val="righ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项目</w:t>
            </w:r>
          </w:p>
          <w:p>
            <w:pPr>
              <w:pStyle w:val="55"/>
              <w:spacing w:beforeLines="0" w:afterLines="0" w:line="240" w:lineRule="auto"/>
              <w:jc w:val="left"/>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分类</w:t>
            </w:r>
          </w:p>
        </w:tc>
        <w:tc>
          <w:tcPr>
            <w:tcW w:w="1612"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污染物名称</w:t>
            </w:r>
          </w:p>
        </w:tc>
        <w:tc>
          <w:tcPr>
            <w:tcW w:w="1512"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1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①</w:t>
            </w:r>
            <w:r>
              <w:rPr>
                <w:rFonts w:ascii="Times New Roman" w:eastAsia="黑体"/>
                <w:snapToGrid w:val="0"/>
                <w:color w:val="auto"/>
                <w:spacing w:val="-6"/>
                <w:kern w:val="21"/>
                <w:szCs w:val="21"/>
                <w:highlight w:val="none"/>
              </w:rPr>
              <w:fldChar w:fldCharType="end"/>
            </w:r>
          </w:p>
        </w:tc>
        <w:tc>
          <w:tcPr>
            <w:tcW w:w="1279"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现有工程</w:t>
            </w:r>
          </w:p>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许可排放量</w:t>
            </w:r>
          </w:p>
          <w:p>
            <w:pPr>
              <w:pStyle w:val="55"/>
              <w:spacing w:beforeLines="0" w:afterLines="0"/>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2 \* GB3 \* MERGEFORMAT </w:instrText>
            </w:r>
            <w:r>
              <w:rPr>
                <w:rFonts w:ascii="Times New Roman" w:eastAsia="黑体"/>
                <w:snapToGrid w:val="0"/>
                <w:color w:val="auto"/>
                <w:spacing w:val="-6"/>
                <w:kern w:val="21"/>
                <w:szCs w:val="21"/>
                <w:highlight w:val="none"/>
              </w:rPr>
              <w:fldChar w:fldCharType="separate"/>
            </w:r>
            <w:r>
              <w:rPr>
                <w:rFonts w:ascii="Times New Roman" w:eastAsia="黑体"/>
                <w:snapToGrid w:val="0"/>
                <w:color w:val="auto"/>
                <w:spacing w:val="-6"/>
                <w:kern w:val="21"/>
                <w:szCs w:val="21"/>
                <w:highlight w:val="none"/>
              </w:rPr>
              <w:t>②</w:t>
            </w:r>
            <w:r>
              <w:rPr>
                <w:rFonts w:ascii="Times New Roman" w:eastAsia="黑体"/>
                <w:snapToGrid w:val="0"/>
                <w:color w:val="auto"/>
                <w:spacing w:val="-6"/>
                <w:kern w:val="21"/>
                <w:szCs w:val="21"/>
                <w:highlight w:val="none"/>
              </w:rPr>
              <w:fldChar w:fldCharType="end"/>
            </w:r>
          </w:p>
        </w:tc>
        <w:tc>
          <w:tcPr>
            <w:tcW w:w="1705"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在建工程</w:t>
            </w:r>
          </w:p>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3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③</w:t>
            </w:r>
            <w:r>
              <w:rPr>
                <w:rFonts w:ascii="Times New Roman" w:eastAsia="黑体"/>
                <w:snapToGrid w:val="0"/>
                <w:color w:val="auto"/>
                <w:spacing w:val="-6"/>
                <w:kern w:val="21"/>
                <w:szCs w:val="21"/>
                <w:highlight w:val="none"/>
              </w:rPr>
              <w:fldChar w:fldCharType="end"/>
            </w:r>
          </w:p>
        </w:tc>
        <w:tc>
          <w:tcPr>
            <w:tcW w:w="1562"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hint="eastAsia" w:ascii="Times New Roman" w:eastAsia="黑体"/>
                <w:snapToGrid w:val="0"/>
                <w:color w:val="auto"/>
                <w:spacing w:val="-6"/>
                <w:kern w:val="21"/>
                <w:szCs w:val="21"/>
                <w:highlight w:val="none"/>
              </w:rPr>
              <w:t>拟建</w:t>
            </w:r>
            <w:r>
              <w:rPr>
                <w:rFonts w:ascii="Times New Roman" w:eastAsia="黑体"/>
                <w:snapToGrid w:val="0"/>
                <w:color w:val="auto"/>
                <w:spacing w:val="-6"/>
                <w:kern w:val="21"/>
                <w:szCs w:val="21"/>
                <w:highlight w:val="none"/>
              </w:rPr>
              <w:t>项目</w:t>
            </w:r>
          </w:p>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排放量（固体废物产生量）</w:t>
            </w: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4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④</w:t>
            </w:r>
            <w:r>
              <w:rPr>
                <w:rFonts w:ascii="Times New Roman" w:eastAsia="黑体"/>
                <w:snapToGrid w:val="0"/>
                <w:color w:val="auto"/>
                <w:spacing w:val="-6"/>
                <w:kern w:val="21"/>
                <w:szCs w:val="21"/>
                <w:highlight w:val="none"/>
              </w:rPr>
              <w:fldChar w:fldCharType="end"/>
            </w:r>
          </w:p>
        </w:tc>
        <w:tc>
          <w:tcPr>
            <w:tcW w:w="1764" w:type="dxa"/>
            <w:tcMar>
              <w:left w:w="28" w:type="dxa"/>
              <w:right w:w="28" w:type="dxa"/>
            </w:tcMar>
            <w:vAlign w:val="center"/>
          </w:tcPr>
          <w:p>
            <w:pPr>
              <w:pStyle w:val="55"/>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以新带老削减量</w:t>
            </w:r>
          </w:p>
          <w:p>
            <w:pPr>
              <w:pStyle w:val="55"/>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（新建项目不填）</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5 \* GB3 \* MERGEFORMAT </w:instrText>
            </w:r>
            <w:r>
              <w:rPr>
                <w:rFonts w:ascii="Times New Roman" w:eastAsia="黑体"/>
                <w:snapToGrid w:val="0"/>
                <w:color w:val="auto"/>
                <w:spacing w:val="-16"/>
                <w:kern w:val="21"/>
                <w:szCs w:val="21"/>
                <w:highlight w:val="none"/>
              </w:rPr>
              <w:fldChar w:fldCharType="separate"/>
            </w:r>
            <w:r>
              <w:rPr>
                <w:rFonts w:ascii="Times New Roman" w:eastAsia="黑体"/>
                <w:color w:val="auto"/>
                <w:kern w:val="2"/>
                <w:szCs w:val="21"/>
                <w:highlight w:val="none"/>
              </w:rPr>
              <w:t>⑤</w:t>
            </w:r>
            <w:r>
              <w:rPr>
                <w:rFonts w:ascii="Times New Roman" w:eastAsia="黑体"/>
                <w:snapToGrid w:val="0"/>
                <w:color w:val="auto"/>
                <w:spacing w:val="-16"/>
                <w:kern w:val="21"/>
                <w:szCs w:val="21"/>
                <w:highlight w:val="none"/>
              </w:rPr>
              <w:fldChar w:fldCharType="end"/>
            </w:r>
          </w:p>
        </w:tc>
        <w:tc>
          <w:tcPr>
            <w:tcW w:w="1851" w:type="dxa"/>
            <w:tcMar>
              <w:left w:w="28" w:type="dxa"/>
              <w:right w:w="28" w:type="dxa"/>
            </w:tcMar>
            <w:vAlign w:val="center"/>
          </w:tcPr>
          <w:p>
            <w:pPr>
              <w:pStyle w:val="55"/>
              <w:spacing w:beforeLines="0" w:afterLines="0" w:line="240" w:lineRule="auto"/>
              <w:rPr>
                <w:rFonts w:ascii="Times New Roman" w:eastAsia="黑体"/>
                <w:snapToGrid w:val="0"/>
                <w:color w:val="auto"/>
                <w:spacing w:val="-16"/>
                <w:kern w:val="21"/>
                <w:szCs w:val="21"/>
                <w:highlight w:val="none"/>
              </w:rPr>
            </w:pPr>
            <w:r>
              <w:rPr>
                <w:rFonts w:hint="eastAsia" w:ascii="Times New Roman" w:eastAsia="黑体"/>
                <w:snapToGrid w:val="0"/>
                <w:color w:val="auto"/>
                <w:spacing w:val="-16"/>
                <w:kern w:val="21"/>
                <w:szCs w:val="21"/>
                <w:highlight w:val="none"/>
              </w:rPr>
              <w:t>拟建</w:t>
            </w:r>
            <w:r>
              <w:rPr>
                <w:rFonts w:ascii="Times New Roman" w:eastAsia="黑体"/>
                <w:snapToGrid w:val="0"/>
                <w:color w:val="auto"/>
                <w:spacing w:val="-16"/>
                <w:kern w:val="21"/>
                <w:szCs w:val="21"/>
                <w:highlight w:val="none"/>
              </w:rPr>
              <w:t>项目建成后</w:t>
            </w:r>
          </w:p>
          <w:p>
            <w:pPr>
              <w:pStyle w:val="55"/>
              <w:spacing w:beforeLines="0" w:afterLines="0" w:line="240" w:lineRule="auto"/>
              <w:rPr>
                <w:rFonts w:ascii="Times New Roman" w:eastAsia="黑体"/>
                <w:snapToGrid w:val="0"/>
                <w:color w:val="auto"/>
                <w:spacing w:val="-16"/>
                <w:kern w:val="21"/>
                <w:szCs w:val="21"/>
                <w:highlight w:val="none"/>
              </w:rPr>
            </w:pPr>
            <w:r>
              <w:rPr>
                <w:rFonts w:ascii="Times New Roman" w:eastAsia="黑体"/>
                <w:snapToGrid w:val="0"/>
                <w:color w:val="auto"/>
                <w:spacing w:val="-16"/>
                <w:kern w:val="21"/>
                <w:szCs w:val="21"/>
                <w:highlight w:val="none"/>
              </w:rPr>
              <w:t>全厂排放量（固体废物产生量）</w:t>
            </w:r>
            <w:r>
              <w:rPr>
                <w:rFonts w:ascii="Times New Roman" w:eastAsia="黑体"/>
                <w:snapToGrid w:val="0"/>
                <w:color w:val="auto"/>
                <w:spacing w:val="-16"/>
                <w:kern w:val="21"/>
                <w:szCs w:val="21"/>
                <w:highlight w:val="none"/>
              </w:rPr>
              <w:fldChar w:fldCharType="begin"/>
            </w:r>
            <w:r>
              <w:rPr>
                <w:rFonts w:ascii="Times New Roman" w:eastAsia="黑体"/>
                <w:snapToGrid w:val="0"/>
                <w:color w:val="auto"/>
                <w:spacing w:val="-16"/>
                <w:kern w:val="21"/>
                <w:szCs w:val="21"/>
                <w:highlight w:val="none"/>
              </w:rPr>
              <w:instrText xml:space="preserve"> = 6 \* GB3 \* MERGEFORMAT </w:instrText>
            </w:r>
            <w:r>
              <w:rPr>
                <w:rFonts w:ascii="Times New Roman" w:eastAsia="黑体"/>
                <w:snapToGrid w:val="0"/>
                <w:color w:val="auto"/>
                <w:spacing w:val="-16"/>
                <w:kern w:val="21"/>
                <w:szCs w:val="21"/>
                <w:highlight w:val="none"/>
              </w:rPr>
              <w:fldChar w:fldCharType="separate"/>
            </w:r>
            <w:r>
              <w:rPr>
                <w:rFonts w:ascii="Times New Roman" w:eastAsia="黑体"/>
                <w:color w:val="auto"/>
                <w:kern w:val="2"/>
                <w:szCs w:val="21"/>
                <w:highlight w:val="none"/>
              </w:rPr>
              <w:t>⑥</w:t>
            </w:r>
            <w:r>
              <w:rPr>
                <w:rFonts w:ascii="Times New Roman" w:eastAsia="黑体"/>
                <w:snapToGrid w:val="0"/>
                <w:color w:val="auto"/>
                <w:spacing w:val="-16"/>
                <w:kern w:val="21"/>
                <w:szCs w:val="21"/>
                <w:highlight w:val="none"/>
              </w:rPr>
              <w:fldChar w:fldCharType="end"/>
            </w:r>
          </w:p>
        </w:tc>
        <w:tc>
          <w:tcPr>
            <w:tcW w:w="1287" w:type="dxa"/>
            <w:tcMar>
              <w:left w:w="28" w:type="dxa"/>
              <w:right w:w="28" w:type="dxa"/>
            </w:tcMar>
            <w:vAlign w:val="center"/>
          </w:tcPr>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t>变化量</w:t>
            </w:r>
          </w:p>
          <w:p>
            <w:pPr>
              <w:pStyle w:val="55"/>
              <w:spacing w:beforeLines="0" w:afterLines="0" w:line="240" w:lineRule="auto"/>
              <w:rPr>
                <w:rFonts w:ascii="Times New Roman" w:eastAsia="黑体"/>
                <w:snapToGrid w:val="0"/>
                <w:color w:val="auto"/>
                <w:spacing w:val="-6"/>
                <w:kern w:val="21"/>
                <w:szCs w:val="21"/>
                <w:highlight w:val="none"/>
              </w:rPr>
            </w:pPr>
            <w:r>
              <w:rPr>
                <w:rFonts w:ascii="Times New Roman" w:eastAsia="黑体"/>
                <w:snapToGrid w:val="0"/>
                <w:color w:val="auto"/>
                <w:spacing w:val="-6"/>
                <w:kern w:val="21"/>
                <w:szCs w:val="21"/>
                <w:highlight w:val="none"/>
              </w:rPr>
              <w:fldChar w:fldCharType="begin"/>
            </w:r>
            <w:r>
              <w:rPr>
                <w:rFonts w:ascii="Times New Roman" w:eastAsia="黑体"/>
                <w:snapToGrid w:val="0"/>
                <w:color w:val="auto"/>
                <w:spacing w:val="-6"/>
                <w:kern w:val="21"/>
                <w:szCs w:val="21"/>
                <w:highlight w:val="none"/>
              </w:rPr>
              <w:instrText xml:space="preserve"> = 7 \* GB3 \* MERGEFORMAT </w:instrText>
            </w:r>
            <w:r>
              <w:rPr>
                <w:rFonts w:ascii="Times New Roman" w:eastAsia="黑体"/>
                <w:snapToGrid w:val="0"/>
                <w:color w:val="auto"/>
                <w:spacing w:val="-6"/>
                <w:kern w:val="21"/>
                <w:szCs w:val="21"/>
                <w:highlight w:val="none"/>
              </w:rPr>
              <w:fldChar w:fldCharType="separate"/>
            </w:r>
            <w:r>
              <w:rPr>
                <w:rFonts w:ascii="Times New Roman" w:eastAsia="黑体"/>
                <w:color w:val="auto"/>
                <w:kern w:val="2"/>
                <w:szCs w:val="21"/>
                <w:highlight w:val="none"/>
              </w:rPr>
              <w:t>⑦</w:t>
            </w:r>
            <w:r>
              <w:rPr>
                <w:rFonts w:ascii="Times New Roman" w:eastAsia="黑体"/>
                <w:snapToGrid w:val="0"/>
                <w:color w:val="auto"/>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1591" w:type="dxa"/>
            <w:vMerge w:val="restart"/>
            <w:vAlign w:val="center"/>
          </w:tcPr>
          <w:p>
            <w:pPr>
              <w:pStyle w:val="55"/>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废气</w:t>
            </w:r>
          </w:p>
        </w:tc>
        <w:tc>
          <w:tcPr>
            <w:tcW w:w="1612" w:type="dxa"/>
            <w:vAlign w:val="center"/>
          </w:tcPr>
          <w:p>
            <w:pPr>
              <w:pStyle w:val="35"/>
              <w:rPr>
                <w:color w:val="auto"/>
                <w:highlight w:val="none"/>
              </w:rPr>
            </w:pPr>
            <w:r>
              <w:rPr>
                <w:color w:val="auto"/>
                <w:highlight w:val="none"/>
              </w:rPr>
              <w:t>颗粒物</w:t>
            </w:r>
            <w:r>
              <w:rPr>
                <w:rFonts w:hint="eastAsia"/>
                <w:color w:val="auto"/>
                <w:highlight w:val="none"/>
              </w:rPr>
              <w:t>总量</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kern w:val="0"/>
                <w:szCs w:val="21"/>
                <w:highlight w:val="none"/>
                <w:lang w:val="en-US" w:eastAsia="zh-CN" w:bidi="ar"/>
              </w:rPr>
              <w:t>1.034</w:t>
            </w:r>
            <w:r>
              <w:rPr>
                <w:rFonts w:hint="eastAsia"/>
                <w:color w:val="auto"/>
                <w:highlight w:val="none"/>
              </w:rPr>
              <w:t>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kern w:val="0"/>
                <w:szCs w:val="21"/>
                <w:highlight w:val="none"/>
                <w:lang w:val="en-US" w:eastAsia="zh-CN" w:bidi="ar"/>
              </w:rPr>
              <w:t>1.034</w:t>
            </w:r>
            <w:r>
              <w:rPr>
                <w:rFonts w:hint="eastAsia"/>
                <w:color w:val="auto"/>
                <w:highlight w:val="none"/>
              </w:rPr>
              <w:t>t/a</w:t>
            </w:r>
          </w:p>
        </w:tc>
        <w:tc>
          <w:tcPr>
            <w:tcW w:w="1287" w:type="dxa"/>
            <w:vAlign w:val="center"/>
          </w:tcPr>
          <w:p>
            <w:pPr>
              <w:widowControl/>
              <w:jc w:val="center"/>
              <w:textAlignment w:val="center"/>
              <w:rPr>
                <w:snapToGrid w:val="0"/>
                <w:color w:val="auto"/>
                <w:kern w:val="21"/>
                <w:szCs w:val="21"/>
                <w:highlight w:val="none"/>
              </w:rPr>
            </w:pPr>
            <w:r>
              <w:rPr>
                <w:rFonts w:hint="eastAsia"/>
                <w:color w:val="auto"/>
                <w:kern w:val="0"/>
                <w:szCs w:val="21"/>
                <w:highlight w:val="none"/>
                <w:lang w:val="en-US" w:eastAsia="zh-CN" w:bidi="ar"/>
              </w:rPr>
              <w:t>+1.034</w:t>
            </w:r>
            <w:r>
              <w:rPr>
                <w:rFonts w:hint="eastAsia"/>
                <w:color w:val="auto"/>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pStyle w:val="35"/>
              <w:rPr>
                <w:color w:val="auto"/>
                <w:highlight w:val="none"/>
              </w:rPr>
            </w:pPr>
            <w:r>
              <w:rPr>
                <w:rFonts w:hint="eastAsia"/>
                <w:color w:val="auto"/>
                <w:highlight w:val="none"/>
              </w:rPr>
              <w:t>有组织</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color w:val="auto"/>
                <w:szCs w:val="21"/>
                <w:highlight w:val="none"/>
                <w:lang w:bidi="ar"/>
              </w:rPr>
            </w:pPr>
            <w:r>
              <w:rPr>
                <w:rFonts w:hint="eastAsia"/>
                <w:color w:val="auto"/>
                <w:szCs w:val="21"/>
                <w:highlight w:val="none"/>
                <w:lang w:val="en-US" w:eastAsia="zh-CN" w:bidi="ar"/>
              </w:rPr>
              <w:t>0.86</w:t>
            </w:r>
            <w:r>
              <w:rPr>
                <w:rFonts w:hint="eastAsia"/>
                <w:color w:val="auto"/>
                <w:szCs w:val="21"/>
                <w:highlight w:val="none"/>
                <w:lang w:bidi="ar"/>
              </w:rPr>
              <w:t>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color w:val="auto"/>
                <w:szCs w:val="21"/>
                <w:highlight w:val="none"/>
                <w:lang w:bidi="ar"/>
              </w:rPr>
            </w:pPr>
            <w:r>
              <w:rPr>
                <w:rFonts w:hint="eastAsia"/>
                <w:color w:val="auto"/>
                <w:szCs w:val="21"/>
                <w:highlight w:val="none"/>
                <w:lang w:val="en-US" w:eastAsia="zh-CN" w:bidi="ar"/>
              </w:rPr>
              <w:t>0.86</w:t>
            </w:r>
            <w:r>
              <w:rPr>
                <w:rFonts w:hint="eastAsia"/>
                <w:color w:val="auto"/>
                <w:szCs w:val="21"/>
                <w:highlight w:val="none"/>
                <w:lang w:bidi="ar"/>
              </w:rPr>
              <w:t>t/a</w:t>
            </w:r>
          </w:p>
        </w:tc>
        <w:tc>
          <w:tcPr>
            <w:tcW w:w="1287" w:type="dxa"/>
            <w:vAlign w:val="center"/>
          </w:tcPr>
          <w:p>
            <w:pPr>
              <w:widowControl/>
              <w:jc w:val="center"/>
              <w:textAlignment w:val="center"/>
              <w:rPr>
                <w:color w:val="auto"/>
                <w:szCs w:val="21"/>
                <w:highlight w:val="none"/>
                <w:lang w:bidi="ar"/>
              </w:rPr>
            </w:pPr>
            <w:r>
              <w:rPr>
                <w:rFonts w:hint="eastAsia"/>
                <w:color w:val="auto"/>
                <w:szCs w:val="21"/>
                <w:highlight w:val="none"/>
                <w:lang w:val="en-US" w:eastAsia="zh-CN" w:bidi="ar"/>
              </w:rPr>
              <w:t>+0.86</w:t>
            </w:r>
            <w:r>
              <w:rPr>
                <w:rFonts w:hint="eastAsia"/>
                <w:color w:val="auto"/>
                <w:szCs w:val="21"/>
                <w:highlight w:val="none"/>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pStyle w:val="35"/>
              <w:rPr>
                <w:color w:val="auto"/>
                <w:highlight w:val="none"/>
              </w:rPr>
            </w:pPr>
            <w:r>
              <w:rPr>
                <w:rFonts w:hint="eastAsia"/>
                <w:color w:val="auto"/>
                <w:highlight w:val="none"/>
              </w:rPr>
              <w:t>无组织</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snapToGrid w:val="0"/>
                <w:color w:val="auto"/>
                <w:kern w:val="21"/>
                <w:szCs w:val="21"/>
                <w:highlight w:val="none"/>
                <w:lang w:val="en-US" w:eastAsia="zh-CN"/>
              </w:rPr>
              <w:t>0.175</w:t>
            </w:r>
            <w:r>
              <w:rPr>
                <w:rFonts w:hint="eastAsia"/>
                <w:snapToGrid w:val="0"/>
                <w:color w:val="auto"/>
                <w:kern w:val="21"/>
                <w:szCs w:val="21"/>
                <w:highlight w:val="none"/>
              </w:rPr>
              <w:t>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snapToGrid w:val="0"/>
                <w:color w:val="auto"/>
                <w:kern w:val="21"/>
                <w:szCs w:val="21"/>
                <w:highlight w:val="none"/>
                <w:lang w:val="en-US" w:eastAsia="zh-CN"/>
              </w:rPr>
              <w:t>0.175</w:t>
            </w:r>
            <w:r>
              <w:rPr>
                <w:rFonts w:hint="eastAsia"/>
                <w:snapToGrid w:val="0"/>
                <w:color w:val="auto"/>
                <w:kern w:val="21"/>
                <w:szCs w:val="21"/>
                <w:highlight w:val="none"/>
              </w:rPr>
              <w:t>t/a</w:t>
            </w:r>
          </w:p>
        </w:tc>
        <w:tc>
          <w:tcPr>
            <w:tcW w:w="1287" w:type="dxa"/>
            <w:vAlign w:val="center"/>
          </w:tcPr>
          <w:p>
            <w:pPr>
              <w:widowControl/>
              <w:jc w:val="center"/>
              <w:textAlignment w:val="center"/>
              <w:rPr>
                <w:snapToGrid w:val="0"/>
                <w:color w:val="auto"/>
                <w:kern w:val="21"/>
                <w:szCs w:val="21"/>
                <w:highlight w:val="none"/>
              </w:rPr>
            </w:pPr>
            <w:r>
              <w:rPr>
                <w:rFonts w:hint="eastAsia"/>
                <w:snapToGrid w:val="0"/>
                <w:color w:val="auto"/>
                <w:kern w:val="21"/>
                <w:szCs w:val="21"/>
                <w:highlight w:val="none"/>
                <w:lang w:val="en-US" w:eastAsia="zh-CN"/>
              </w:rPr>
              <w:t>+0.175</w:t>
            </w:r>
            <w:r>
              <w:rPr>
                <w:rFonts w:hint="eastAsia"/>
                <w:snapToGrid w:val="0"/>
                <w:color w:val="auto"/>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91" w:type="dxa"/>
            <w:vMerge w:val="restart"/>
            <w:vAlign w:val="center"/>
          </w:tcPr>
          <w:p>
            <w:pPr>
              <w:pStyle w:val="55"/>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废水</w:t>
            </w:r>
          </w:p>
        </w:tc>
        <w:tc>
          <w:tcPr>
            <w:tcW w:w="1612" w:type="dxa"/>
            <w:vAlign w:val="center"/>
          </w:tcPr>
          <w:p>
            <w:pPr>
              <w:pStyle w:val="32"/>
              <w:spacing w:line="240" w:lineRule="auto"/>
              <w:ind w:firstLine="0" w:firstLineChars="0"/>
              <w:jc w:val="center"/>
              <w:rPr>
                <w:snapToGrid w:val="0"/>
                <w:color w:val="auto"/>
                <w:sz w:val="21"/>
                <w:szCs w:val="21"/>
                <w:highlight w:val="none"/>
              </w:rPr>
            </w:pPr>
            <w:r>
              <w:rPr>
                <w:rFonts w:hint="eastAsia"/>
                <w:snapToGrid w:val="0"/>
                <w:color w:val="auto"/>
                <w:sz w:val="21"/>
                <w:szCs w:val="21"/>
                <w:highlight w:val="none"/>
              </w:rPr>
              <w:t>废水量</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color w:val="auto"/>
                <w:highlight w:val="none"/>
              </w:rPr>
            </w:pPr>
            <w:r>
              <w:rPr>
                <w:rFonts w:hint="eastAsia"/>
                <w:color w:val="auto"/>
                <w:highlight w:val="none"/>
              </w:rPr>
              <w:t>712.8m</w:t>
            </w:r>
            <w:r>
              <w:rPr>
                <w:rFonts w:hint="eastAsia"/>
                <w:color w:val="auto"/>
                <w:highlight w:val="none"/>
                <w:vertAlign w:val="superscript"/>
              </w:rPr>
              <w:t>3</w:t>
            </w:r>
            <w:r>
              <w:rPr>
                <w:rFonts w:hint="eastAsia"/>
                <w:color w:val="auto"/>
                <w:highlight w:val="none"/>
              </w:rPr>
              <w: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color w:val="auto"/>
                <w:highlight w:val="none"/>
              </w:rPr>
            </w:pPr>
            <w:r>
              <w:rPr>
                <w:rFonts w:hint="eastAsia"/>
                <w:color w:val="auto"/>
                <w:highlight w:val="none"/>
              </w:rPr>
              <w:t>712.8m</w:t>
            </w:r>
            <w:r>
              <w:rPr>
                <w:rFonts w:hint="eastAsia"/>
                <w:color w:val="auto"/>
                <w:highlight w:val="none"/>
                <w:vertAlign w:val="superscript"/>
              </w:rPr>
              <w:t>3</w:t>
            </w:r>
            <w:r>
              <w:rPr>
                <w:rFonts w:hint="eastAsia"/>
                <w:color w:val="auto"/>
                <w:highlight w:val="none"/>
              </w:rPr>
              <w:t>/a</w:t>
            </w:r>
          </w:p>
        </w:tc>
        <w:tc>
          <w:tcPr>
            <w:tcW w:w="1287" w:type="dxa"/>
            <w:vAlign w:val="center"/>
          </w:tcPr>
          <w:p>
            <w:pPr>
              <w:widowControl/>
              <w:jc w:val="center"/>
              <w:textAlignment w:val="center"/>
              <w:rPr>
                <w:color w:val="auto"/>
                <w:highlight w:val="none"/>
              </w:rPr>
            </w:pPr>
            <w:r>
              <w:rPr>
                <w:rFonts w:hint="eastAsia"/>
                <w:color w:val="auto"/>
                <w:highlight w:val="none"/>
              </w:rPr>
              <w:t>+712.8m</w:t>
            </w:r>
            <w:r>
              <w:rPr>
                <w:rFonts w:hint="eastAsia"/>
                <w:color w:val="auto"/>
                <w:highlight w:val="none"/>
                <w:vertAlign w:val="superscript"/>
              </w:rPr>
              <w:t>3</w:t>
            </w:r>
            <w:r>
              <w:rPr>
                <w:rFonts w:hint="eastAsia"/>
                <w:color w:val="auto"/>
                <w:highlight w:val="none"/>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pStyle w:val="32"/>
              <w:spacing w:line="240" w:lineRule="auto"/>
              <w:ind w:firstLine="0" w:firstLineChars="0"/>
              <w:jc w:val="center"/>
              <w:rPr>
                <w:color w:val="auto"/>
                <w:sz w:val="21"/>
                <w:szCs w:val="21"/>
                <w:highlight w:val="none"/>
              </w:rPr>
            </w:pPr>
            <w:r>
              <w:rPr>
                <w:rFonts w:hint="eastAsia"/>
                <w:snapToGrid w:val="0"/>
                <w:color w:val="auto"/>
                <w:sz w:val="21"/>
                <w:szCs w:val="21"/>
                <w:highlight w:val="none"/>
              </w:rPr>
              <w:t>COD</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highlight w:val="none"/>
              </w:rPr>
              <w:t>0.036t/a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highlight w:val="none"/>
              </w:rPr>
              <w:t>0.036t/a</w:t>
            </w:r>
          </w:p>
        </w:tc>
        <w:tc>
          <w:tcPr>
            <w:tcW w:w="1287" w:type="dxa"/>
            <w:vAlign w:val="center"/>
          </w:tcPr>
          <w:p>
            <w:pPr>
              <w:widowControl/>
              <w:jc w:val="center"/>
              <w:textAlignment w:val="center"/>
              <w:rPr>
                <w:snapToGrid w:val="0"/>
                <w:color w:val="auto"/>
                <w:kern w:val="21"/>
                <w:szCs w:val="21"/>
                <w:highlight w:val="none"/>
              </w:rPr>
            </w:pPr>
            <w:r>
              <w:rPr>
                <w:rFonts w:hint="eastAsia"/>
                <w:color w:val="auto"/>
                <w:highlight w:val="none"/>
              </w:rPr>
              <w:t>+0.036t/a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pStyle w:val="35"/>
              <w:rPr>
                <w:color w:val="auto"/>
                <w:highlight w:val="none"/>
              </w:rPr>
            </w:pPr>
            <w:r>
              <w:rPr>
                <w:color w:val="auto"/>
                <w:highlight w:val="none"/>
              </w:rPr>
              <w:t>氨氮</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highlight w:val="none"/>
              </w:rPr>
              <w:t>0.004t/a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highlight w:val="none"/>
              </w:rPr>
              <w:t>0.004t/a</w:t>
            </w:r>
          </w:p>
        </w:tc>
        <w:tc>
          <w:tcPr>
            <w:tcW w:w="1287" w:type="dxa"/>
            <w:vAlign w:val="center"/>
          </w:tcPr>
          <w:p>
            <w:pPr>
              <w:widowControl/>
              <w:jc w:val="center"/>
              <w:textAlignment w:val="center"/>
              <w:rPr>
                <w:snapToGrid w:val="0"/>
                <w:color w:val="auto"/>
                <w:kern w:val="21"/>
                <w:szCs w:val="21"/>
                <w:highlight w:val="none"/>
              </w:rPr>
            </w:pPr>
            <w:r>
              <w:rPr>
                <w:rFonts w:hint="eastAsia"/>
                <w:color w:val="auto"/>
                <w:highlight w:val="none"/>
              </w:rPr>
              <w:t>+0.004t/a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591" w:type="dxa"/>
            <w:vMerge w:val="restart"/>
            <w:vAlign w:val="center"/>
          </w:tcPr>
          <w:p>
            <w:pPr>
              <w:pStyle w:val="55"/>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一般工业</w:t>
            </w:r>
          </w:p>
          <w:p>
            <w:pPr>
              <w:pStyle w:val="55"/>
              <w:spacing w:beforeLines="0" w:afterLines="0" w:line="240" w:lineRule="auto"/>
              <w:rPr>
                <w:rFonts w:ascii="Times New Roman"/>
                <w:snapToGrid w:val="0"/>
                <w:color w:val="auto"/>
                <w:kern w:val="21"/>
                <w:szCs w:val="21"/>
                <w:highlight w:val="none"/>
              </w:rPr>
            </w:pPr>
            <w:r>
              <w:rPr>
                <w:rFonts w:ascii="Times New Roman"/>
                <w:snapToGrid w:val="0"/>
                <w:color w:val="auto"/>
                <w:kern w:val="21"/>
                <w:szCs w:val="21"/>
                <w:highlight w:val="none"/>
              </w:rPr>
              <w:t>固体废物</w:t>
            </w:r>
          </w:p>
        </w:tc>
        <w:tc>
          <w:tcPr>
            <w:tcW w:w="1612" w:type="dxa"/>
            <w:vAlign w:val="center"/>
          </w:tcPr>
          <w:p>
            <w:pPr>
              <w:widowControl/>
              <w:jc w:val="center"/>
              <w:textAlignment w:val="center"/>
              <w:rPr>
                <w:color w:val="auto"/>
                <w:kern w:val="21"/>
                <w:highlight w:val="none"/>
              </w:rPr>
            </w:pPr>
            <w:r>
              <w:rPr>
                <w:rFonts w:hint="eastAsia"/>
                <w:color w:val="auto"/>
                <w:highlight w:val="none"/>
              </w:rPr>
              <w:t>沉淀池沉渣</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szCs w:val="22"/>
                <w:highlight w:val="none"/>
              </w:rPr>
              <w:t>2t/a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szCs w:val="22"/>
                <w:highlight w:val="none"/>
              </w:rPr>
              <w:t>2t/a</w:t>
            </w:r>
          </w:p>
        </w:tc>
        <w:tc>
          <w:tcPr>
            <w:tcW w:w="1287" w:type="dxa"/>
            <w:vAlign w:val="center"/>
          </w:tcPr>
          <w:p>
            <w:pPr>
              <w:widowControl/>
              <w:jc w:val="center"/>
              <w:textAlignment w:val="center"/>
              <w:rPr>
                <w:snapToGrid w:val="0"/>
                <w:color w:val="auto"/>
                <w:kern w:val="21"/>
                <w:szCs w:val="21"/>
                <w:highlight w:val="none"/>
              </w:rPr>
            </w:pPr>
            <w:r>
              <w:rPr>
                <w:rFonts w:hint="eastAsia"/>
                <w:color w:val="auto"/>
                <w:szCs w:val="22"/>
                <w:highlight w:val="none"/>
              </w:rPr>
              <w:t>+2t/a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color w:val="auto"/>
                <w:kern w:val="21"/>
                <w:highlight w:val="none"/>
              </w:rPr>
            </w:pPr>
            <w:r>
              <w:rPr>
                <w:rFonts w:hint="eastAsia"/>
                <w:color w:val="auto"/>
                <w:szCs w:val="22"/>
                <w:highlight w:val="none"/>
              </w:rPr>
              <w:t>除尘器收集尘</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szCs w:val="22"/>
                <w:highlight w:val="none"/>
                <w:lang w:val="en-US" w:eastAsia="zh-CN"/>
              </w:rPr>
              <w:t>171.113</w:t>
            </w:r>
            <w:r>
              <w:rPr>
                <w:rFonts w:hint="eastAsia"/>
                <w:color w:val="auto"/>
                <w:szCs w:val="22"/>
                <w:highlight w:val="none"/>
              </w:rPr>
              <w:t>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szCs w:val="22"/>
                <w:highlight w:val="none"/>
                <w:lang w:val="en-US" w:eastAsia="zh-CN"/>
              </w:rPr>
              <w:t>171.113</w:t>
            </w:r>
            <w:r>
              <w:rPr>
                <w:rFonts w:hint="eastAsia"/>
                <w:color w:val="auto"/>
                <w:szCs w:val="22"/>
                <w:highlight w:val="none"/>
              </w:rPr>
              <w:t>t/a</w:t>
            </w:r>
          </w:p>
        </w:tc>
        <w:tc>
          <w:tcPr>
            <w:tcW w:w="1287" w:type="dxa"/>
            <w:vAlign w:val="center"/>
          </w:tcPr>
          <w:p>
            <w:pPr>
              <w:widowControl/>
              <w:jc w:val="center"/>
              <w:textAlignment w:val="center"/>
              <w:rPr>
                <w:snapToGrid w:val="0"/>
                <w:color w:val="auto"/>
                <w:kern w:val="21"/>
                <w:szCs w:val="21"/>
                <w:highlight w:val="none"/>
              </w:rPr>
            </w:pPr>
            <w:r>
              <w:rPr>
                <w:rFonts w:hint="eastAsia"/>
                <w:color w:val="auto"/>
                <w:szCs w:val="22"/>
                <w:highlight w:val="none"/>
              </w:rPr>
              <w:t>+</w:t>
            </w:r>
            <w:r>
              <w:rPr>
                <w:rFonts w:hint="eastAsia"/>
                <w:color w:val="auto"/>
                <w:szCs w:val="22"/>
                <w:highlight w:val="none"/>
                <w:lang w:val="en-US" w:eastAsia="zh-CN"/>
              </w:rPr>
              <w:t>171.113</w:t>
            </w:r>
            <w:r>
              <w:rPr>
                <w:rFonts w:hint="eastAsia"/>
                <w:color w:val="auto"/>
                <w:szCs w:val="22"/>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rFonts w:hint="default" w:eastAsia="宋体"/>
                <w:color w:val="auto"/>
                <w:szCs w:val="22"/>
                <w:highlight w:val="none"/>
                <w:lang w:val="en-US" w:eastAsia="zh-CN"/>
              </w:rPr>
            </w:pPr>
            <w:r>
              <w:rPr>
                <w:rFonts w:hint="eastAsia"/>
                <w:color w:val="auto"/>
                <w:szCs w:val="22"/>
                <w:highlight w:val="none"/>
                <w:lang w:val="en-US" w:eastAsia="zh-CN"/>
              </w:rPr>
              <w:t>地面沉降收集粉尘</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rFonts w:hint="default" w:eastAsia="宋体"/>
                <w:color w:val="auto"/>
                <w:szCs w:val="22"/>
                <w:highlight w:val="none"/>
                <w:lang w:val="en-US" w:eastAsia="zh-CN"/>
              </w:rPr>
            </w:pPr>
            <w:r>
              <w:rPr>
                <w:rFonts w:hint="eastAsia"/>
                <w:color w:val="auto"/>
                <w:szCs w:val="22"/>
                <w:highlight w:val="none"/>
                <w:lang w:val="en-US" w:eastAsia="zh-CN"/>
              </w:rPr>
              <w:t>64.919</w:t>
            </w:r>
            <w:r>
              <w:rPr>
                <w:rFonts w:hint="eastAsia"/>
                <w:color w:val="auto"/>
                <w:szCs w:val="22"/>
                <w:highlight w:val="none"/>
              </w:rPr>
              <w:t>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rFonts w:hint="eastAsia"/>
                <w:color w:val="auto"/>
                <w:szCs w:val="22"/>
                <w:highlight w:val="none"/>
              </w:rPr>
            </w:pPr>
            <w:r>
              <w:rPr>
                <w:rFonts w:hint="eastAsia"/>
                <w:color w:val="auto"/>
                <w:szCs w:val="22"/>
                <w:highlight w:val="none"/>
                <w:lang w:val="en-US" w:eastAsia="zh-CN"/>
              </w:rPr>
              <w:t>64.919</w:t>
            </w:r>
            <w:r>
              <w:rPr>
                <w:rFonts w:hint="eastAsia"/>
                <w:color w:val="auto"/>
                <w:szCs w:val="22"/>
                <w:highlight w:val="none"/>
              </w:rPr>
              <w:t>t/a</w:t>
            </w:r>
          </w:p>
        </w:tc>
        <w:tc>
          <w:tcPr>
            <w:tcW w:w="1287" w:type="dxa"/>
            <w:vAlign w:val="center"/>
          </w:tcPr>
          <w:p>
            <w:pPr>
              <w:widowControl/>
              <w:jc w:val="center"/>
              <w:textAlignment w:val="center"/>
              <w:rPr>
                <w:rFonts w:hint="eastAsia"/>
                <w:color w:val="auto"/>
                <w:szCs w:val="22"/>
                <w:highlight w:val="none"/>
              </w:rPr>
            </w:pPr>
            <w:r>
              <w:rPr>
                <w:rFonts w:hint="eastAsia"/>
                <w:color w:val="auto"/>
                <w:szCs w:val="22"/>
                <w:highlight w:val="none"/>
                <w:lang w:val="en-US" w:eastAsia="zh-CN"/>
              </w:rPr>
              <w:t>+64.919</w:t>
            </w:r>
            <w:r>
              <w:rPr>
                <w:rFonts w:hint="eastAsia"/>
                <w:color w:val="auto"/>
                <w:szCs w:val="22"/>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rFonts w:hint="eastAsia" w:eastAsia="宋体"/>
                <w:color w:val="auto"/>
                <w:highlight w:val="none"/>
                <w:lang w:eastAsia="zh-CN"/>
              </w:rPr>
            </w:pPr>
            <w:r>
              <w:rPr>
                <w:rFonts w:hint="eastAsia"/>
                <w:color w:val="auto"/>
                <w:szCs w:val="22"/>
                <w:highlight w:val="none"/>
              </w:rPr>
              <w:t>废滤</w:t>
            </w:r>
            <w:r>
              <w:rPr>
                <w:rFonts w:hint="eastAsia"/>
                <w:color w:val="auto"/>
                <w:szCs w:val="22"/>
                <w:highlight w:val="none"/>
                <w:lang w:val="en-US" w:eastAsia="zh-CN"/>
              </w:rPr>
              <w:t>芯</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szCs w:val="22"/>
                <w:highlight w:val="none"/>
              </w:rPr>
              <w:t>0.005t/a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szCs w:val="22"/>
                <w:highlight w:val="none"/>
              </w:rPr>
              <w:t>0.005t/a</w:t>
            </w:r>
          </w:p>
        </w:tc>
        <w:tc>
          <w:tcPr>
            <w:tcW w:w="1287" w:type="dxa"/>
            <w:vAlign w:val="center"/>
          </w:tcPr>
          <w:p>
            <w:pPr>
              <w:widowControl/>
              <w:jc w:val="center"/>
              <w:textAlignment w:val="center"/>
              <w:rPr>
                <w:snapToGrid w:val="0"/>
                <w:color w:val="auto"/>
                <w:kern w:val="21"/>
                <w:szCs w:val="21"/>
                <w:highlight w:val="none"/>
              </w:rPr>
            </w:pPr>
            <w:r>
              <w:rPr>
                <w:rFonts w:hint="eastAsia"/>
                <w:color w:val="auto"/>
                <w:szCs w:val="22"/>
                <w:highlight w:val="none"/>
              </w:rPr>
              <w:t>+0.005t/a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color w:val="auto"/>
                <w:highlight w:val="none"/>
              </w:rPr>
            </w:pPr>
            <w:r>
              <w:rPr>
                <w:rFonts w:hint="eastAsia" w:ascii="宋体" w:hAnsi="宋体" w:cs="宋体"/>
                <w:color w:val="auto"/>
                <w:kern w:val="0"/>
                <w:szCs w:val="21"/>
                <w:highlight w:val="none"/>
                <w:lang w:bidi="ar"/>
              </w:rPr>
              <w:t>生活垃圾</w:t>
            </w:r>
          </w:p>
        </w:tc>
        <w:tc>
          <w:tcPr>
            <w:tcW w:w="1512" w:type="dxa"/>
            <w:vAlign w:val="center"/>
          </w:tcPr>
          <w:p>
            <w:pPr>
              <w:widowControl/>
              <w:jc w:val="center"/>
              <w:textAlignment w:val="center"/>
              <w:rPr>
                <w:snapToGrid w:val="0"/>
                <w:color w:val="auto"/>
                <w:kern w:val="21"/>
                <w:szCs w:val="21"/>
                <w:highlight w:val="none"/>
              </w:rPr>
            </w:pPr>
          </w:p>
        </w:tc>
        <w:tc>
          <w:tcPr>
            <w:tcW w:w="1279" w:type="dxa"/>
            <w:vAlign w:val="center"/>
          </w:tcPr>
          <w:p>
            <w:pPr>
              <w:widowControl/>
              <w:jc w:val="center"/>
              <w:textAlignment w:val="center"/>
              <w:rPr>
                <w:snapToGrid w:val="0"/>
                <w:color w:val="auto"/>
                <w:kern w:val="21"/>
                <w:szCs w:val="21"/>
                <w:highlight w:val="none"/>
              </w:rPr>
            </w:pPr>
          </w:p>
        </w:tc>
        <w:tc>
          <w:tcPr>
            <w:tcW w:w="1705" w:type="dxa"/>
            <w:vAlign w:val="center"/>
          </w:tcPr>
          <w:p>
            <w:pPr>
              <w:widowControl/>
              <w:jc w:val="center"/>
              <w:textAlignment w:val="center"/>
              <w:rPr>
                <w:snapToGrid w:val="0"/>
                <w:color w:val="auto"/>
                <w:kern w:val="21"/>
                <w:szCs w:val="21"/>
                <w:highlight w:val="none"/>
              </w:rPr>
            </w:pPr>
          </w:p>
        </w:tc>
        <w:tc>
          <w:tcPr>
            <w:tcW w:w="1562" w:type="dxa"/>
            <w:vAlign w:val="center"/>
          </w:tcPr>
          <w:p>
            <w:pPr>
              <w:widowControl/>
              <w:jc w:val="center"/>
              <w:textAlignment w:val="center"/>
              <w:rPr>
                <w:snapToGrid w:val="0"/>
                <w:color w:val="auto"/>
                <w:kern w:val="21"/>
                <w:szCs w:val="21"/>
                <w:highlight w:val="none"/>
              </w:rPr>
            </w:pPr>
            <w:r>
              <w:rPr>
                <w:rFonts w:hint="eastAsia"/>
                <w:color w:val="auto"/>
                <w:highlight w:val="none"/>
              </w:rPr>
              <w:t>2.97t/a</w:t>
            </w:r>
          </w:p>
        </w:tc>
        <w:tc>
          <w:tcPr>
            <w:tcW w:w="1764" w:type="dxa"/>
            <w:vAlign w:val="center"/>
          </w:tcPr>
          <w:p>
            <w:pPr>
              <w:widowControl/>
              <w:jc w:val="center"/>
              <w:textAlignment w:val="center"/>
              <w:rPr>
                <w:snapToGrid w:val="0"/>
                <w:color w:val="auto"/>
                <w:kern w:val="21"/>
                <w:szCs w:val="21"/>
                <w:highlight w:val="none"/>
              </w:rPr>
            </w:pPr>
          </w:p>
        </w:tc>
        <w:tc>
          <w:tcPr>
            <w:tcW w:w="1851" w:type="dxa"/>
            <w:vAlign w:val="center"/>
          </w:tcPr>
          <w:p>
            <w:pPr>
              <w:widowControl/>
              <w:jc w:val="center"/>
              <w:textAlignment w:val="center"/>
              <w:rPr>
                <w:snapToGrid w:val="0"/>
                <w:color w:val="auto"/>
                <w:kern w:val="21"/>
                <w:szCs w:val="21"/>
                <w:highlight w:val="none"/>
              </w:rPr>
            </w:pPr>
            <w:r>
              <w:rPr>
                <w:rFonts w:hint="eastAsia"/>
                <w:color w:val="auto"/>
                <w:highlight w:val="none"/>
              </w:rPr>
              <w:t>2.97t/a</w:t>
            </w:r>
          </w:p>
        </w:tc>
        <w:tc>
          <w:tcPr>
            <w:tcW w:w="1287" w:type="dxa"/>
            <w:vAlign w:val="center"/>
          </w:tcPr>
          <w:p>
            <w:pPr>
              <w:widowControl/>
              <w:jc w:val="center"/>
              <w:textAlignment w:val="center"/>
              <w:rPr>
                <w:snapToGrid w:val="0"/>
                <w:color w:val="auto"/>
                <w:kern w:val="21"/>
                <w:szCs w:val="21"/>
                <w:highlight w:val="none"/>
              </w:rPr>
            </w:pPr>
            <w:r>
              <w:rPr>
                <w:rFonts w:hint="eastAsia"/>
                <w:color w:val="auto"/>
                <w:szCs w:val="22"/>
                <w:highlight w:val="none"/>
              </w:rPr>
              <w:t>+</w:t>
            </w:r>
            <w:r>
              <w:rPr>
                <w:rFonts w:hint="eastAsia"/>
                <w:color w:val="auto"/>
                <w:highlight w:val="none"/>
              </w:rPr>
              <w:t>2.97t/a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91" w:type="dxa"/>
            <w:vMerge w:val="restart"/>
            <w:vAlign w:val="center"/>
          </w:tcPr>
          <w:p>
            <w:pPr>
              <w:pStyle w:val="55"/>
              <w:spacing w:beforeLines="0" w:afterLines="0" w:line="240" w:lineRule="auto"/>
              <w:rPr>
                <w:rFonts w:ascii="Times New Roman"/>
                <w:snapToGrid w:val="0"/>
                <w:color w:val="auto"/>
                <w:kern w:val="21"/>
                <w:szCs w:val="21"/>
                <w:highlight w:val="none"/>
              </w:rPr>
            </w:pPr>
            <w:r>
              <w:rPr>
                <w:rFonts w:hint="eastAsia" w:ascii="Times New Roman"/>
                <w:snapToGrid w:val="0"/>
                <w:color w:val="auto"/>
                <w:kern w:val="21"/>
                <w:szCs w:val="21"/>
                <w:highlight w:val="none"/>
              </w:rPr>
              <w:t>危险废物</w:t>
            </w:r>
          </w:p>
        </w:tc>
        <w:tc>
          <w:tcPr>
            <w:tcW w:w="1612" w:type="dxa"/>
            <w:vAlign w:val="center"/>
          </w:tcPr>
          <w:p>
            <w:pPr>
              <w:widowControl/>
              <w:jc w:val="center"/>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废机油</w:t>
            </w:r>
          </w:p>
        </w:tc>
        <w:tc>
          <w:tcPr>
            <w:tcW w:w="1512" w:type="dxa"/>
            <w:vAlign w:val="center"/>
          </w:tcPr>
          <w:p>
            <w:pPr>
              <w:widowControl/>
              <w:jc w:val="center"/>
              <w:textAlignment w:val="center"/>
              <w:rPr>
                <w:color w:val="auto"/>
                <w:kern w:val="0"/>
                <w:sz w:val="22"/>
                <w:szCs w:val="22"/>
                <w:highlight w:val="none"/>
                <w:lang w:bidi="ar"/>
              </w:rPr>
            </w:pPr>
          </w:p>
        </w:tc>
        <w:tc>
          <w:tcPr>
            <w:tcW w:w="1279" w:type="dxa"/>
            <w:vAlign w:val="center"/>
          </w:tcPr>
          <w:p>
            <w:pPr>
              <w:rPr>
                <w:color w:val="auto"/>
                <w:kern w:val="0"/>
                <w:sz w:val="22"/>
                <w:szCs w:val="22"/>
                <w:highlight w:val="none"/>
                <w:lang w:bidi="ar"/>
              </w:rPr>
            </w:pPr>
          </w:p>
        </w:tc>
        <w:tc>
          <w:tcPr>
            <w:tcW w:w="1705" w:type="dxa"/>
            <w:vAlign w:val="center"/>
          </w:tcPr>
          <w:p>
            <w:pPr>
              <w:widowControl/>
              <w:jc w:val="center"/>
              <w:textAlignment w:val="center"/>
              <w:rPr>
                <w:color w:val="auto"/>
                <w:kern w:val="0"/>
                <w:sz w:val="22"/>
                <w:szCs w:val="22"/>
                <w:highlight w:val="none"/>
                <w:lang w:bidi="ar"/>
              </w:rPr>
            </w:pPr>
          </w:p>
        </w:tc>
        <w:tc>
          <w:tcPr>
            <w:tcW w:w="1562" w:type="dxa"/>
            <w:vAlign w:val="center"/>
          </w:tcPr>
          <w:p>
            <w:pPr>
              <w:widowControl/>
              <w:jc w:val="center"/>
              <w:textAlignment w:val="center"/>
              <w:rPr>
                <w:color w:val="auto"/>
                <w:kern w:val="0"/>
                <w:sz w:val="22"/>
                <w:szCs w:val="22"/>
                <w:highlight w:val="none"/>
                <w:lang w:bidi="ar"/>
              </w:rPr>
            </w:pPr>
            <w:r>
              <w:rPr>
                <w:rFonts w:hint="eastAsia"/>
                <w:color w:val="auto"/>
                <w:highlight w:val="none"/>
              </w:rPr>
              <w:t>0.24t/a</w:t>
            </w:r>
          </w:p>
        </w:tc>
        <w:tc>
          <w:tcPr>
            <w:tcW w:w="1764" w:type="dxa"/>
            <w:vAlign w:val="center"/>
          </w:tcPr>
          <w:p>
            <w:pPr>
              <w:widowControl/>
              <w:jc w:val="center"/>
              <w:textAlignment w:val="center"/>
              <w:rPr>
                <w:color w:val="auto"/>
                <w:kern w:val="0"/>
                <w:sz w:val="22"/>
                <w:szCs w:val="22"/>
                <w:highlight w:val="none"/>
                <w:lang w:bidi="ar"/>
              </w:rPr>
            </w:pPr>
          </w:p>
        </w:tc>
        <w:tc>
          <w:tcPr>
            <w:tcW w:w="1851" w:type="dxa"/>
            <w:vAlign w:val="center"/>
          </w:tcPr>
          <w:p>
            <w:pPr>
              <w:widowControl/>
              <w:jc w:val="center"/>
              <w:textAlignment w:val="center"/>
              <w:rPr>
                <w:color w:val="auto"/>
                <w:kern w:val="0"/>
                <w:sz w:val="22"/>
                <w:szCs w:val="22"/>
                <w:highlight w:val="none"/>
                <w:lang w:bidi="ar"/>
              </w:rPr>
            </w:pPr>
            <w:r>
              <w:rPr>
                <w:rFonts w:hint="eastAsia"/>
                <w:color w:val="auto"/>
                <w:highlight w:val="none"/>
              </w:rPr>
              <w:t>0.24t/a</w:t>
            </w:r>
          </w:p>
        </w:tc>
        <w:tc>
          <w:tcPr>
            <w:tcW w:w="1287" w:type="dxa"/>
            <w:vAlign w:val="center"/>
          </w:tcPr>
          <w:p>
            <w:pPr>
              <w:widowControl/>
              <w:jc w:val="center"/>
              <w:textAlignment w:val="center"/>
              <w:rPr>
                <w:color w:val="auto"/>
                <w:kern w:val="0"/>
                <w:sz w:val="22"/>
                <w:szCs w:val="22"/>
                <w:highlight w:val="none"/>
                <w:lang w:bidi="ar"/>
              </w:rPr>
            </w:pPr>
            <w:r>
              <w:rPr>
                <w:rFonts w:hint="eastAsia"/>
                <w:color w:val="auto"/>
                <w:szCs w:val="22"/>
                <w:highlight w:val="none"/>
              </w:rPr>
              <w:t>+</w:t>
            </w:r>
            <w:r>
              <w:rPr>
                <w:rFonts w:hint="eastAsia"/>
                <w:color w:val="auto"/>
                <w:highlight w:val="none"/>
              </w:rPr>
              <w:t>0.24t/a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rFonts w:hint="eastAsia" w:ascii="宋体" w:hAnsi="宋体" w:cs="宋体"/>
                <w:color w:val="auto"/>
                <w:kern w:val="0"/>
                <w:sz w:val="22"/>
                <w:szCs w:val="22"/>
                <w:highlight w:val="none"/>
                <w:lang w:bidi="ar"/>
              </w:rPr>
            </w:pPr>
            <w:r>
              <w:rPr>
                <w:rFonts w:hint="eastAsia"/>
                <w:color w:val="auto"/>
                <w:highlight w:val="none"/>
              </w:rPr>
              <w:t>废油桶</w:t>
            </w:r>
          </w:p>
        </w:tc>
        <w:tc>
          <w:tcPr>
            <w:tcW w:w="1512" w:type="dxa"/>
            <w:vAlign w:val="center"/>
          </w:tcPr>
          <w:p>
            <w:pPr>
              <w:widowControl/>
              <w:jc w:val="center"/>
              <w:textAlignment w:val="center"/>
              <w:rPr>
                <w:color w:val="auto"/>
                <w:kern w:val="0"/>
                <w:sz w:val="22"/>
                <w:szCs w:val="22"/>
                <w:highlight w:val="none"/>
                <w:lang w:bidi="ar"/>
              </w:rPr>
            </w:pPr>
          </w:p>
        </w:tc>
        <w:tc>
          <w:tcPr>
            <w:tcW w:w="1279" w:type="dxa"/>
            <w:vAlign w:val="center"/>
          </w:tcPr>
          <w:p>
            <w:pPr>
              <w:rPr>
                <w:color w:val="auto"/>
                <w:kern w:val="0"/>
                <w:sz w:val="22"/>
                <w:szCs w:val="22"/>
                <w:highlight w:val="none"/>
                <w:lang w:bidi="ar"/>
              </w:rPr>
            </w:pPr>
          </w:p>
        </w:tc>
        <w:tc>
          <w:tcPr>
            <w:tcW w:w="1705" w:type="dxa"/>
            <w:vAlign w:val="center"/>
          </w:tcPr>
          <w:p>
            <w:pPr>
              <w:widowControl/>
              <w:jc w:val="center"/>
              <w:textAlignment w:val="center"/>
              <w:rPr>
                <w:color w:val="auto"/>
                <w:kern w:val="0"/>
                <w:sz w:val="22"/>
                <w:szCs w:val="22"/>
                <w:highlight w:val="none"/>
                <w:lang w:bidi="ar"/>
              </w:rPr>
            </w:pPr>
          </w:p>
        </w:tc>
        <w:tc>
          <w:tcPr>
            <w:tcW w:w="1562" w:type="dxa"/>
            <w:vAlign w:val="center"/>
          </w:tcPr>
          <w:p>
            <w:pPr>
              <w:widowControl/>
              <w:jc w:val="center"/>
              <w:textAlignment w:val="center"/>
              <w:rPr>
                <w:color w:val="auto"/>
                <w:kern w:val="0"/>
                <w:sz w:val="22"/>
                <w:szCs w:val="22"/>
                <w:highlight w:val="none"/>
                <w:lang w:bidi="ar"/>
              </w:rPr>
            </w:pPr>
            <w:r>
              <w:rPr>
                <w:rFonts w:hint="eastAsia"/>
                <w:color w:val="auto"/>
                <w:highlight w:val="none"/>
              </w:rPr>
              <w:t>0.03t/a</w:t>
            </w:r>
          </w:p>
        </w:tc>
        <w:tc>
          <w:tcPr>
            <w:tcW w:w="1764" w:type="dxa"/>
            <w:vAlign w:val="center"/>
          </w:tcPr>
          <w:p>
            <w:pPr>
              <w:widowControl/>
              <w:jc w:val="center"/>
              <w:textAlignment w:val="center"/>
              <w:rPr>
                <w:color w:val="auto"/>
                <w:kern w:val="0"/>
                <w:sz w:val="22"/>
                <w:szCs w:val="22"/>
                <w:highlight w:val="none"/>
                <w:lang w:bidi="ar"/>
              </w:rPr>
            </w:pPr>
          </w:p>
        </w:tc>
        <w:tc>
          <w:tcPr>
            <w:tcW w:w="1851" w:type="dxa"/>
            <w:vAlign w:val="center"/>
          </w:tcPr>
          <w:p>
            <w:pPr>
              <w:widowControl/>
              <w:jc w:val="center"/>
              <w:textAlignment w:val="center"/>
              <w:rPr>
                <w:color w:val="auto"/>
                <w:kern w:val="0"/>
                <w:sz w:val="22"/>
                <w:szCs w:val="22"/>
                <w:highlight w:val="none"/>
                <w:lang w:bidi="ar"/>
              </w:rPr>
            </w:pPr>
            <w:r>
              <w:rPr>
                <w:rFonts w:hint="eastAsia"/>
                <w:color w:val="auto"/>
                <w:highlight w:val="none"/>
              </w:rPr>
              <w:t>0.03t/a</w:t>
            </w:r>
          </w:p>
        </w:tc>
        <w:tc>
          <w:tcPr>
            <w:tcW w:w="1287" w:type="dxa"/>
            <w:vAlign w:val="center"/>
          </w:tcPr>
          <w:p>
            <w:pPr>
              <w:widowControl/>
              <w:jc w:val="center"/>
              <w:textAlignment w:val="center"/>
              <w:rPr>
                <w:color w:val="auto"/>
                <w:kern w:val="0"/>
                <w:sz w:val="22"/>
                <w:szCs w:val="22"/>
                <w:highlight w:val="none"/>
                <w:lang w:bidi="ar"/>
              </w:rPr>
            </w:pPr>
            <w:r>
              <w:rPr>
                <w:rFonts w:hint="eastAsia"/>
                <w:color w:val="auto"/>
                <w:szCs w:val="22"/>
                <w:highlight w:val="none"/>
              </w:rPr>
              <w:t>+</w:t>
            </w:r>
            <w:r>
              <w:rPr>
                <w:rFonts w:hint="eastAsia"/>
                <w:color w:val="auto"/>
                <w:highlight w:val="none"/>
              </w:rPr>
              <w:t>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1591" w:type="dxa"/>
            <w:vMerge w:val="continue"/>
            <w:vAlign w:val="center"/>
          </w:tcPr>
          <w:p>
            <w:pPr>
              <w:pStyle w:val="55"/>
              <w:spacing w:beforeLines="0" w:afterLines="0" w:line="240" w:lineRule="auto"/>
              <w:rPr>
                <w:rFonts w:ascii="Times New Roman"/>
                <w:snapToGrid w:val="0"/>
                <w:color w:val="auto"/>
                <w:kern w:val="21"/>
                <w:szCs w:val="21"/>
                <w:highlight w:val="none"/>
              </w:rPr>
            </w:pPr>
          </w:p>
        </w:tc>
        <w:tc>
          <w:tcPr>
            <w:tcW w:w="1612" w:type="dxa"/>
            <w:vAlign w:val="center"/>
          </w:tcPr>
          <w:p>
            <w:pPr>
              <w:widowControl/>
              <w:jc w:val="center"/>
              <w:textAlignment w:val="center"/>
              <w:rPr>
                <w:rFonts w:hint="eastAsia" w:ascii="宋体" w:hAnsi="宋体" w:cs="宋体"/>
                <w:color w:val="auto"/>
                <w:kern w:val="0"/>
                <w:sz w:val="22"/>
                <w:szCs w:val="22"/>
                <w:highlight w:val="none"/>
                <w:lang w:bidi="ar"/>
              </w:rPr>
            </w:pPr>
            <w:r>
              <w:rPr>
                <w:rFonts w:hint="eastAsia" w:ascii="宋体" w:hAnsi="宋体" w:cs="宋体"/>
                <w:color w:val="auto"/>
                <w:kern w:val="0"/>
                <w:szCs w:val="21"/>
                <w:highlight w:val="none"/>
                <w:lang w:bidi="ar"/>
              </w:rPr>
              <w:t>含油抹布</w:t>
            </w:r>
          </w:p>
        </w:tc>
        <w:tc>
          <w:tcPr>
            <w:tcW w:w="1512" w:type="dxa"/>
            <w:vAlign w:val="center"/>
          </w:tcPr>
          <w:p>
            <w:pPr>
              <w:widowControl/>
              <w:jc w:val="center"/>
              <w:textAlignment w:val="center"/>
              <w:rPr>
                <w:color w:val="auto"/>
                <w:kern w:val="0"/>
                <w:sz w:val="22"/>
                <w:szCs w:val="22"/>
                <w:highlight w:val="none"/>
                <w:lang w:bidi="ar"/>
              </w:rPr>
            </w:pPr>
          </w:p>
        </w:tc>
        <w:tc>
          <w:tcPr>
            <w:tcW w:w="1279" w:type="dxa"/>
            <w:vAlign w:val="center"/>
          </w:tcPr>
          <w:p>
            <w:pPr>
              <w:rPr>
                <w:color w:val="auto"/>
                <w:kern w:val="0"/>
                <w:sz w:val="22"/>
                <w:szCs w:val="22"/>
                <w:highlight w:val="none"/>
                <w:lang w:bidi="ar"/>
              </w:rPr>
            </w:pPr>
          </w:p>
        </w:tc>
        <w:tc>
          <w:tcPr>
            <w:tcW w:w="1705" w:type="dxa"/>
            <w:vAlign w:val="center"/>
          </w:tcPr>
          <w:p>
            <w:pPr>
              <w:widowControl/>
              <w:jc w:val="center"/>
              <w:textAlignment w:val="center"/>
              <w:rPr>
                <w:color w:val="auto"/>
                <w:kern w:val="0"/>
                <w:sz w:val="22"/>
                <w:szCs w:val="22"/>
                <w:highlight w:val="none"/>
                <w:lang w:bidi="ar"/>
              </w:rPr>
            </w:pPr>
          </w:p>
        </w:tc>
        <w:tc>
          <w:tcPr>
            <w:tcW w:w="1562" w:type="dxa"/>
            <w:vAlign w:val="center"/>
          </w:tcPr>
          <w:p>
            <w:pPr>
              <w:widowControl/>
              <w:jc w:val="center"/>
              <w:textAlignment w:val="center"/>
              <w:rPr>
                <w:color w:val="auto"/>
                <w:kern w:val="0"/>
                <w:sz w:val="22"/>
                <w:szCs w:val="22"/>
                <w:highlight w:val="none"/>
                <w:lang w:bidi="ar"/>
              </w:rPr>
            </w:pPr>
            <w:r>
              <w:rPr>
                <w:rFonts w:hint="eastAsia"/>
                <w:color w:val="auto"/>
                <w:highlight w:val="none"/>
              </w:rPr>
              <w:t>0.02</w:t>
            </w:r>
            <w:r>
              <w:rPr>
                <w:color w:val="auto"/>
                <w:highlight w:val="none"/>
              </w:rPr>
              <w:t>t/a</w:t>
            </w:r>
          </w:p>
        </w:tc>
        <w:tc>
          <w:tcPr>
            <w:tcW w:w="1764" w:type="dxa"/>
            <w:vAlign w:val="center"/>
          </w:tcPr>
          <w:p>
            <w:pPr>
              <w:widowControl/>
              <w:jc w:val="center"/>
              <w:textAlignment w:val="center"/>
              <w:rPr>
                <w:color w:val="auto"/>
                <w:kern w:val="0"/>
                <w:sz w:val="22"/>
                <w:szCs w:val="22"/>
                <w:highlight w:val="none"/>
                <w:lang w:bidi="ar"/>
              </w:rPr>
            </w:pPr>
          </w:p>
        </w:tc>
        <w:tc>
          <w:tcPr>
            <w:tcW w:w="1851" w:type="dxa"/>
            <w:vAlign w:val="center"/>
          </w:tcPr>
          <w:p>
            <w:pPr>
              <w:widowControl/>
              <w:jc w:val="center"/>
              <w:textAlignment w:val="center"/>
              <w:rPr>
                <w:color w:val="auto"/>
                <w:kern w:val="0"/>
                <w:sz w:val="22"/>
                <w:szCs w:val="22"/>
                <w:highlight w:val="none"/>
                <w:lang w:bidi="ar"/>
              </w:rPr>
            </w:pPr>
            <w:r>
              <w:rPr>
                <w:rFonts w:hint="eastAsia"/>
                <w:color w:val="auto"/>
                <w:highlight w:val="none"/>
              </w:rPr>
              <w:t>0.02</w:t>
            </w:r>
            <w:r>
              <w:rPr>
                <w:color w:val="auto"/>
                <w:highlight w:val="none"/>
              </w:rPr>
              <w:t>t/a</w:t>
            </w:r>
          </w:p>
        </w:tc>
        <w:tc>
          <w:tcPr>
            <w:tcW w:w="1287" w:type="dxa"/>
            <w:vAlign w:val="center"/>
          </w:tcPr>
          <w:p>
            <w:pPr>
              <w:widowControl/>
              <w:jc w:val="center"/>
              <w:textAlignment w:val="center"/>
              <w:rPr>
                <w:color w:val="auto"/>
                <w:kern w:val="0"/>
                <w:sz w:val="22"/>
                <w:szCs w:val="22"/>
                <w:highlight w:val="none"/>
                <w:lang w:bidi="ar"/>
              </w:rPr>
            </w:pPr>
            <w:r>
              <w:rPr>
                <w:rFonts w:hint="eastAsia"/>
                <w:color w:val="auto"/>
                <w:szCs w:val="22"/>
                <w:highlight w:val="none"/>
              </w:rPr>
              <w:t>+</w:t>
            </w:r>
            <w:r>
              <w:rPr>
                <w:rFonts w:hint="eastAsia"/>
                <w:color w:val="auto"/>
                <w:highlight w:val="none"/>
              </w:rPr>
              <w:t>0.02</w:t>
            </w:r>
            <w:r>
              <w:rPr>
                <w:color w:val="auto"/>
                <w:highlight w:val="none"/>
              </w:rPr>
              <w:t>t/a</w:t>
            </w:r>
          </w:p>
        </w:tc>
      </w:tr>
    </w:tbl>
    <w:p>
      <w:pPr>
        <w:pStyle w:val="27"/>
        <w:rPr>
          <w:rFonts w:hint="default"/>
          <w:color w:val="auto"/>
          <w:highlight w:val="none"/>
        </w:rPr>
        <w:sectPr>
          <w:footerReference r:id="rId7" w:type="default"/>
          <w:pgSz w:w="16838" w:h="11906" w:orient="landscape"/>
          <w:pgMar w:top="1417" w:right="1417" w:bottom="1417" w:left="1417" w:header="851" w:footer="992" w:gutter="0"/>
          <w:cols w:space="425" w:num="1"/>
          <w:docGrid w:type="lines" w:linePitch="312" w:charSpace="0"/>
        </w:sectPr>
      </w:pPr>
      <w:r>
        <w:rPr>
          <w:rFonts w:hAnsi="宋体"/>
          <w:snapToGrid w:val="0"/>
          <w:color w:val="auto"/>
          <w:kern w:val="21"/>
          <w:szCs w:val="21"/>
          <w:highlight w:val="none"/>
        </w:rPr>
        <w:t>注：</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①</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3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③</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4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④</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5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⑤</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7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⑦</w:t>
      </w:r>
      <w:r>
        <w:rPr>
          <w:rFonts w:hAnsi="宋体"/>
          <w:snapToGrid w:val="0"/>
          <w:color w:val="auto"/>
          <w:spacing w:val="-6"/>
          <w:kern w:val="21"/>
          <w:szCs w:val="21"/>
          <w:highlight w:val="none"/>
        </w:rPr>
        <w:fldChar w:fldCharType="end"/>
      </w:r>
      <w:r>
        <w:rPr>
          <w:rFonts w:hAnsi="宋体"/>
          <w:snapToGrid w:val="0"/>
          <w:color w:val="auto"/>
          <w:spacing w:val="-6"/>
          <w:kern w:val="21"/>
          <w:szCs w:val="21"/>
          <w:highlight w:val="none"/>
        </w:rPr>
        <w:t>=</w:t>
      </w:r>
      <w:r>
        <w:rPr>
          <w:rFonts w:hAnsi="宋体"/>
          <w:snapToGrid w:val="0"/>
          <w:color w:val="auto"/>
          <w:spacing w:val="-16"/>
          <w:kern w:val="21"/>
          <w:szCs w:val="21"/>
          <w:highlight w:val="none"/>
        </w:rPr>
        <w:fldChar w:fldCharType="begin"/>
      </w:r>
      <w:r>
        <w:rPr>
          <w:rFonts w:hAnsi="宋体"/>
          <w:snapToGrid w:val="0"/>
          <w:color w:val="auto"/>
          <w:spacing w:val="-16"/>
          <w:kern w:val="21"/>
          <w:szCs w:val="21"/>
          <w:highlight w:val="none"/>
        </w:rPr>
        <w:instrText xml:space="preserve"> = 6 \* GB3 \* MERGEFORMAT </w:instrText>
      </w:r>
      <w:r>
        <w:rPr>
          <w:rFonts w:hAnsi="宋体"/>
          <w:snapToGrid w:val="0"/>
          <w:color w:val="auto"/>
          <w:spacing w:val="-16"/>
          <w:kern w:val="21"/>
          <w:szCs w:val="21"/>
          <w:highlight w:val="none"/>
        </w:rPr>
        <w:fldChar w:fldCharType="separate"/>
      </w:r>
      <w:r>
        <w:rPr>
          <w:rFonts w:hAnsi="宋体"/>
          <w:color w:val="auto"/>
          <w:szCs w:val="21"/>
          <w:highlight w:val="none"/>
        </w:rPr>
        <w:t>⑥</w:t>
      </w:r>
      <w:r>
        <w:rPr>
          <w:rFonts w:hAnsi="宋体"/>
          <w:snapToGrid w:val="0"/>
          <w:color w:val="auto"/>
          <w:spacing w:val="-16"/>
          <w:kern w:val="21"/>
          <w:szCs w:val="21"/>
          <w:highlight w:val="none"/>
        </w:rPr>
        <w:fldChar w:fldCharType="end"/>
      </w:r>
      <w:r>
        <w:rPr>
          <w:rFonts w:hAnsi="宋体"/>
          <w:snapToGrid w:val="0"/>
          <w:color w:val="auto"/>
          <w:spacing w:val="-16"/>
          <w:kern w:val="21"/>
          <w:szCs w:val="21"/>
          <w:highlight w:val="none"/>
        </w:rPr>
        <w:t>-</w:t>
      </w:r>
      <w:r>
        <w:rPr>
          <w:rFonts w:hAnsi="宋体"/>
          <w:snapToGrid w:val="0"/>
          <w:color w:val="auto"/>
          <w:spacing w:val="-6"/>
          <w:kern w:val="21"/>
          <w:szCs w:val="21"/>
          <w:highlight w:val="none"/>
        </w:rPr>
        <w:fldChar w:fldCharType="begin"/>
      </w:r>
      <w:r>
        <w:rPr>
          <w:rFonts w:hAnsi="宋体"/>
          <w:snapToGrid w:val="0"/>
          <w:color w:val="auto"/>
          <w:spacing w:val="-6"/>
          <w:kern w:val="21"/>
          <w:szCs w:val="21"/>
          <w:highlight w:val="none"/>
        </w:rPr>
        <w:instrText xml:space="preserve"> = 1 \* GB3 \* MERGEFORMAT </w:instrText>
      </w:r>
      <w:r>
        <w:rPr>
          <w:rFonts w:hAnsi="宋体"/>
          <w:snapToGrid w:val="0"/>
          <w:color w:val="auto"/>
          <w:spacing w:val="-6"/>
          <w:kern w:val="21"/>
          <w:szCs w:val="21"/>
          <w:highlight w:val="none"/>
        </w:rPr>
        <w:fldChar w:fldCharType="separate"/>
      </w:r>
      <w:r>
        <w:rPr>
          <w:rFonts w:hAnsi="宋体"/>
          <w:color w:val="auto"/>
          <w:szCs w:val="21"/>
          <w:highlight w:val="none"/>
        </w:rPr>
        <w:t>①</w:t>
      </w:r>
      <w:r>
        <w:rPr>
          <w:rFonts w:hAnsi="宋体"/>
          <w:snapToGrid w:val="0"/>
          <w:color w:val="auto"/>
          <w:spacing w:val="-6"/>
          <w:kern w:val="21"/>
          <w:szCs w:val="21"/>
          <w:highlight w:val="none"/>
        </w:rPr>
        <w:fldChar w:fldCharType="end"/>
      </w:r>
    </w:p>
    <w:p>
      <w:pPr>
        <w:pStyle w:val="3"/>
        <w:spacing w:before="0" w:after="0" w:line="240" w:lineRule="auto"/>
        <w:ind w:left="431" w:hanging="431"/>
        <w:rPr>
          <w:color w:val="auto"/>
          <w:highlight w:val="none"/>
        </w:rPr>
      </w:pPr>
      <w:bookmarkStart w:id="38" w:name="_Toc27256"/>
      <w:bookmarkStart w:id="39" w:name="_Toc9091"/>
      <w:bookmarkStart w:id="40" w:name="_Toc15158_WPSOffice_Level1"/>
      <w:bookmarkStart w:id="41" w:name="_Toc26865365"/>
      <w:r>
        <w:rPr>
          <w:rFonts w:hint="eastAsia"/>
          <w:color w:val="auto"/>
          <w:highlight w:val="none"/>
        </w:rPr>
        <w:t>附图1：项目地理位置图</w:t>
      </w:r>
      <w:bookmarkEnd w:id="38"/>
    </w:p>
    <w:p>
      <w:pPr>
        <w:rPr>
          <w:color w:val="auto"/>
          <w:highlight w:val="none"/>
        </w:rPr>
        <w:sectPr>
          <w:footerReference r:id="rId8" w:type="default"/>
          <w:pgSz w:w="16838" w:h="11906" w:orient="landscape"/>
          <w:pgMar w:top="1134" w:right="1417" w:bottom="1134" w:left="1417" w:header="851" w:footer="992" w:gutter="0"/>
          <w:cols w:space="425" w:num="1"/>
          <w:docGrid w:type="lines" w:linePitch="312" w:charSpace="0"/>
        </w:sectPr>
      </w:pPr>
      <w:bookmarkStart w:id="42" w:name="_Toc23488"/>
      <w:bookmarkStart w:id="43" w:name="_Toc14165"/>
      <w:r>
        <w:rPr>
          <w:rFonts w:hint="eastAsia"/>
          <w:color w:val="auto"/>
          <w:highlight w:val="none"/>
        </w:rPr>
        <mc:AlternateContent>
          <mc:Choice Requires="wps">
            <w:drawing>
              <wp:anchor distT="0" distB="0" distL="114300" distR="114300" simplePos="0" relativeHeight="251663360" behindDoc="0" locked="0" layoutInCell="1" allowOverlap="1">
                <wp:simplePos x="0" y="0"/>
                <wp:positionH relativeFrom="column">
                  <wp:posOffset>3876675</wp:posOffset>
                </wp:positionH>
                <wp:positionV relativeFrom="paragraph">
                  <wp:posOffset>973455</wp:posOffset>
                </wp:positionV>
                <wp:extent cx="2556510" cy="521335"/>
                <wp:effectExtent l="6350" t="6350" r="8890" b="1663065"/>
                <wp:wrapNone/>
                <wp:docPr id="70" name="矩形标注 70"/>
                <wp:cNvGraphicFramePr/>
                <a:graphic xmlns:a="http://schemas.openxmlformats.org/drawingml/2006/main">
                  <a:graphicData uri="http://schemas.microsoft.com/office/word/2010/wordprocessingShape">
                    <wps:wsp>
                      <wps:cNvSpPr/>
                      <wps:spPr>
                        <a:xfrm>
                          <a:off x="5163820" y="3364230"/>
                          <a:ext cx="2556510" cy="521335"/>
                        </a:xfrm>
                        <a:prstGeom prst="wedgeRectCallout">
                          <a:avLst>
                            <a:gd name="adj1" fmla="val 33532"/>
                            <a:gd name="adj2" fmla="val 35998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东经：119°3</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33.12</w:t>
                            </w:r>
                            <w:r>
                              <w:rPr>
                                <w:b/>
                                <w:bCs/>
                                <w:color w:val="000000" w:themeColor="text1"/>
                                <w14:textFill>
                                  <w14:solidFill>
                                    <w14:schemeClr w14:val="tx1"/>
                                  </w14:solidFill>
                                </w14:textFill>
                              </w:rPr>
                              <w:t>"，北纬：26°</w:t>
                            </w:r>
                            <w:r>
                              <w:rPr>
                                <w:rFonts w:hint="eastAsia"/>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55.52</w:t>
                            </w:r>
                            <w:r>
                              <w:rPr>
                                <w:rFonts w:hint="eastAsia"/>
                                <w:b/>
                                <w:bCs/>
                                <w:color w:val="000000" w:themeColor="text1"/>
                                <w14:textFill>
                                  <w14:solidFill>
                                    <w14:schemeClr w14:val="tx1"/>
                                  </w14:solidFill>
                                </w14:textFill>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05.25pt;margin-top:76.65pt;height:41.05pt;width:201.3pt;z-index:251663360;v-text-anchor:middle;mso-width-relative:page;mso-height-relative:page;" filled="f" stroked="t" coordsize="21600,21600" o:gfxdata="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" adj="18043,88557">
                <v:fill on="f" focussize="0,0"/>
                <v:stroke weight="1pt" color="#000000 [3213]" miterlimit="8" joinstyle="miter"/>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本项目位置</w:t>
                      </w:r>
                    </w:p>
                    <w:p>
                      <w:pPr>
                        <w:jc w:val="center"/>
                        <w:rPr>
                          <w:b/>
                          <w:bCs/>
                          <w:color w:val="000000" w:themeColor="text1"/>
                          <w14:textFill>
                            <w14:solidFill>
                              <w14:schemeClr w14:val="tx1"/>
                            </w14:solidFill>
                          </w14:textFill>
                        </w:rPr>
                      </w:pPr>
                      <w:r>
                        <w:rPr>
                          <w:b/>
                          <w:bCs/>
                          <w:color w:val="000000" w:themeColor="text1"/>
                          <w14:textFill>
                            <w14:solidFill>
                              <w14:schemeClr w14:val="tx1"/>
                            </w14:solidFill>
                          </w14:textFill>
                        </w:rPr>
                        <w:t>东经：119°3</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33.12</w:t>
                      </w:r>
                      <w:r>
                        <w:rPr>
                          <w:b/>
                          <w:bCs/>
                          <w:color w:val="000000" w:themeColor="text1"/>
                          <w14:textFill>
                            <w14:solidFill>
                              <w14:schemeClr w14:val="tx1"/>
                            </w14:solidFill>
                          </w14:textFill>
                        </w:rPr>
                        <w:t>"，北纬：26°</w:t>
                      </w:r>
                      <w:r>
                        <w:rPr>
                          <w:rFonts w:hint="eastAsia"/>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3</w:t>
                      </w:r>
                      <w:r>
                        <w:rPr>
                          <w:rFonts w:hint="eastAsia"/>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55.52</w:t>
                      </w:r>
                      <w:r>
                        <w:rPr>
                          <w:rFonts w:hint="eastAsia"/>
                          <w:b/>
                          <w:bCs/>
                          <w:color w:val="000000" w:themeColor="text1"/>
                          <w14:textFill>
                            <w14:solidFill>
                              <w14:schemeClr w14:val="tx1"/>
                            </w14:solidFill>
                          </w14:textFill>
                        </w:rPr>
                        <w:t>"</w:t>
                      </w:r>
                    </w:p>
                  </w:txbxContent>
                </v:textbox>
              </v:shape>
            </w:pict>
          </mc:Fallback>
        </mc:AlternateContent>
      </w:r>
      <w:r>
        <w:rPr>
          <w:rFonts w:hint="eastAsia"/>
          <w:color w:val="auto"/>
          <w:highlight w:val="none"/>
        </w:rPr>
        <mc:AlternateContent>
          <mc:Choice Requires="wps">
            <w:drawing>
              <wp:anchor distT="0" distB="0" distL="114300" distR="114300" simplePos="0" relativeHeight="251662336" behindDoc="0" locked="0" layoutInCell="1" allowOverlap="1">
                <wp:simplePos x="0" y="0"/>
                <wp:positionH relativeFrom="column">
                  <wp:posOffset>5918200</wp:posOffset>
                </wp:positionH>
                <wp:positionV relativeFrom="paragraph">
                  <wp:posOffset>3056255</wp:posOffset>
                </wp:positionV>
                <wp:extent cx="196215" cy="167640"/>
                <wp:effectExtent l="21590" t="18415" r="29845" b="23495"/>
                <wp:wrapNone/>
                <wp:docPr id="69" name="五角星 69"/>
                <wp:cNvGraphicFramePr/>
                <a:graphic xmlns:a="http://schemas.openxmlformats.org/drawingml/2006/main">
                  <a:graphicData uri="http://schemas.microsoft.com/office/word/2010/wordprocessingShape">
                    <wps:wsp>
                      <wps:cNvSpPr/>
                      <wps:spPr>
                        <a:xfrm>
                          <a:off x="4892040" y="3873500"/>
                          <a:ext cx="196215" cy="167640"/>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466pt;margin-top:240.65pt;height:13.2pt;width:15.45pt;z-index:251662336;v-text-anchor:middle;mso-width-relative:page;mso-height-relative:page;" fillcolor="#4874CB [3204]" filled="t" stroked="t" coordsize="196215,167640" o:gfxdata="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AOWU3v2wAAAAsBAAAPAAAAAAAAAAEAIAAAACIAAABkcnMvZG93bnJldi54bWxQSwECFAAU&#10;AAAACACHTuJAlWEjzpkCAAAnBQAADgAAAAAAAAABACAAAAAqAQAAZHJzL2Uyb0RvYy54bWxQSwUG&#10;AAAAAAYABgBZAQAANQYAAAAA&#10;" path="m0,64032l74947,64033,98107,0,121267,64033,196214,64032,135580,103606,158741,167639,98107,128064,37473,167639,60634,103606xe">
                <v:path o:connectlocs="98107,0;0,64032;37473,167639;158741,167639;196214,64032" o:connectangles="247,164,82,82,0"/>
                <v:fill on="t" focussize="0,0"/>
                <v:stroke weight="1pt" color="#2E54A1 [2404]" miterlimit="8" joinstyle="miter"/>
                <v:imagedata o:title=""/>
                <o:lock v:ext="edit" aspectratio="f"/>
              </v:shape>
            </w:pict>
          </mc:Fallback>
        </mc:AlternateContent>
      </w:r>
      <w:r>
        <w:rPr>
          <w:rFonts w:hint="eastAsia"/>
          <w:color w:val="auto"/>
          <w:highlight w:val="none"/>
        </w:rPr>
        <w:drawing>
          <wp:anchor distT="0" distB="0" distL="114300" distR="114300" simplePos="0" relativeHeight="251664384" behindDoc="0" locked="0" layoutInCell="1" allowOverlap="1">
            <wp:simplePos x="0" y="0"/>
            <wp:positionH relativeFrom="column">
              <wp:posOffset>6952615</wp:posOffset>
            </wp:positionH>
            <wp:positionV relativeFrom="paragraph">
              <wp:posOffset>81280</wp:posOffset>
            </wp:positionV>
            <wp:extent cx="647700" cy="876300"/>
            <wp:effectExtent l="0" t="0" r="0" b="0"/>
            <wp:wrapNone/>
            <wp:docPr id="135"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0"/>
                    <pic:cNvPicPr>
                      <a:picLocks noChangeAspect="1"/>
                    </pic:cNvPicPr>
                  </pic:nvPicPr>
                  <pic:blipFill>
                    <a:blip r:embed="rId132"/>
                    <a:stretch>
                      <a:fillRect/>
                    </a:stretch>
                  </pic:blipFill>
                  <pic:spPr>
                    <a:xfrm>
                      <a:off x="0" y="0"/>
                      <a:ext cx="647700" cy="876300"/>
                    </a:xfrm>
                    <a:prstGeom prst="rect">
                      <a:avLst/>
                    </a:prstGeom>
                    <a:noFill/>
                    <a:ln>
                      <a:noFill/>
                    </a:ln>
                  </pic:spPr>
                </pic:pic>
              </a:graphicData>
            </a:graphic>
          </wp:anchor>
        </w:drawing>
      </w:r>
      <w:bookmarkEnd w:id="42"/>
      <w:bookmarkEnd w:id="43"/>
      <w:r>
        <w:rPr>
          <w:rFonts w:hint="eastAsia"/>
          <w:color w:val="auto"/>
          <w:highlight w:val="none"/>
        </w:rPr>
        <w:drawing>
          <wp:inline distT="0" distB="0" distL="114300" distR="114300">
            <wp:extent cx="7623175" cy="5619115"/>
            <wp:effectExtent l="0" t="0" r="15875" b="635"/>
            <wp:docPr id="133" name="图片 69" descr="蕉城区地图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69" descr="蕉城区地图_副本"/>
                    <pic:cNvPicPr>
                      <a:picLocks noChangeAspect="1"/>
                    </pic:cNvPicPr>
                  </pic:nvPicPr>
                  <pic:blipFill>
                    <a:blip r:embed="rId133"/>
                    <a:stretch>
                      <a:fillRect/>
                    </a:stretch>
                  </pic:blipFill>
                  <pic:spPr>
                    <a:xfrm>
                      <a:off x="0" y="0"/>
                      <a:ext cx="7623175" cy="5619115"/>
                    </a:xfrm>
                    <a:prstGeom prst="rect">
                      <a:avLst/>
                    </a:prstGeom>
                    <a:noFill/>
                    <a:ln>
                      <a:noFill/>
                    </a:ln>
                  </pic:spPr>
                </pic:pic>
              </a:graphicData>
            </a:graphic>
          </wp:inline>
        </w:drawing>
      </w:r>
    </w:p>
    <w:p>
      <w:pPr>
        <w:pStyle w:val="3"/>
        <w:spacing w:before="0" w:after="0" w:line="240" w:lineRule="auto"/>
        <w:ind w:left="431" w:hanging="431"/>
        <w:rPr>
          <w:color w:val="auto"/>
          <w:highlight w:val="none"/>
        </w:rPr>
      </w:pPr>
      <w:bookmarkStart w:id="44" w:name="_Toc30357"/>
      <w:r>
        <w:rPr>
          <w:rFonts w:hint="eastAsia"/>
          <w:color w:val="auto"/>
          <w:highlight w:val="none"/>
        </w:rPr>
        <w:t>附图2：环境保护目标图</w:t>
      </w:r>
      <w:bookmarkEnd w:id="44"/>
    </w:p>
    <w:p>
      <w:pPr>
        <w:jc w:val="center"/>
        <w:rPr>
          <w:rFonts w:hint="eastAsia" w:eastAsia="Times New Roman" w:cs="Times New Roman"/>
          <w:color w:val="auto"/>
          <w:highlight w:val="none"/>
        </w:rPr>
      </w:pPr>
      <w:r>
        <w:rPr>
          <w:color w:val="auto"/>
          <w:highlight w:val="none"/>
        </w:rPr>
        <w:drawing>
          <wp:inline distT="0" distB="0" distL="114300" distR="114300">
            <wp:extent cx="8879840" cy="4657725"/>
            <wp:effectExtent l="0" t="0" r="16510" b="9525"/>
            <wp:docPr id="9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8"/>
                    <pic:cNvPicPr>
                      <a:picLocks noChangeAspect="1"/>
                    </pic:cNvPicPr>
                  </pic:nvPicPr>
                  <pic:blipFill>
                    <a:blip r:embed="rId134"/>
                    <a:stretch>
                      <a:fillRect/>
                    </a:stretch>
                  </pic:blipFill>
                  <pic:spPr>
                    <a:xfrm>
                      <a:off x="0" y="0"/>
                      <a:ext cx="8879840" cy="4657725"/>
                    </a:xfrm>
                    <a:prstGeom prst="rect">
                      <a:avLst/>
                    </a:prstGeom>
                    <a:noFill/>
                    <a:ln>
                      <a:noFill/>
                    </a:ln>
                  </pic:spPr>
                </pic:pic>
              </a:graphicData>
            </a:graphic>
          </wp:inline>
        </w:drawing>
      </w:r>
      <w:bookmarkEnd w:id="39"/>
      <w:bookmarkEnd w:id="40"/>
      <w:bookmarkEnd w:id="41"/>
    </w:p>
    <w:sectPr>
      <w:pgSz w:w="16838" w:h="11906" w:orient="landscape"/>
      <w:pgMar w:top="1417" w:right="1417" w:bottom="1417" w:left="1417"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7">
      <wne:acd wne:acdName="acd0"/>
    </wne:keymap>
  </wne:keymaps>
  <wne:acds>
    <wne:acd wne:argValue="AgDRkYd2LQBja4dl"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8"/>
    <w:family w:val="script"/>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40323250-C87A-4D43-AEE4-7B0578ECDF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eteo">
    <w:altName w:val="Segoe Print"/>
    <w:panose1 w:val="00000400000000000000"/>
    <w:charset w:val="00"/>
    <w:family w:val="auto"/>
    <w:pitch w:val="default"/>
    <w:sig w:usb0="00000000" w:usb1="00000000" w:usb2="00000000" w:usb3="00000000" w:csb0="000001FF" w:csb1="00000000"/>
  </w:font>
  <w:font w:name="楷体_GB2312">
    <w:panose1 w:val="02010609030101010101"/>
    <w:charset w:val="86"/>
    <w:family w:val="modern"/>
    <w:pitch w:val="default"/>
    <w:sig w:usb0="00000001" w:usb1="080E0000" w:usb2="00000000" w:usb3="00000000" w:csb0="00040000" w:csb1="00000000"/>
    <w:embedRegular r:id="rId2" w:fontKey="{19EE2FAC-EE9F-440A-B70D-10E54E0F51A2}"/>
  </w:font>
  <w:font w:name="Tahoma">
    <w:panose1 w:val="020B0604030504040204"/>
    <w:charset w:val="00"/>
    <w:family w:val="swiss"/>
    <w:pitch w:val="default"/>
    <w:sig w:usb0="E1002EFF" w:usb1="C000605B" w:usb2="00000029" w:usb3="00000000" w:csb0="200101FF" w:csb1="20280000"/>
  </w:font>
  <w:font w:name="方正仿宋_GB2312">
    <w:panose1 w:val="02000000000000000000"/>
    <w:charset w:val="86"/>
    <w:family w:val="auto"/>
    <w:pitch w:val="default"/>
    <w:sig w:usb0="A00002BF" w:usb1="184F6CFA" w:usb2="00000012" w:usb3="00000000" w:csb0="00040001" w:csb1="00000000"/>
    <w:embedRegular r:id="rId3" w:fontKey="{F24E0185-49F4-4B9D-83E5-413E66C6FC55}"/>
  </w:font>
  <w:font w:name="方正小标宋_GBK">
    <w:panose1 w:val="02000000000000000000"/>
    <w:charset w:val="86"/>
    <w:family w:val="script"/>
    <w:pitch w:val="default"/>
    <w:sig w:usb0="A00002BF" w:usb1="38CF7CFA" w:usb2="00082016" w:usb3="00000000" w:csb0="00040001" w:csb1="00000000"/>
    <w:embedRegular r:id="rId4" w:fontKey="{838007FF-EEF0-468A-800B-4ED532971523}"/>
  </w:font>
  <w:font w:name="华文仿宋">
    <w:panose1 w:val="02010600040101010101"/>
    <w:charset w:val="86"/>
    <w:family w:val="auto"/>
    <w:pitch w:val="default"/>
    <w:sig w:usb0="00000287" w:usb1="080F0000" w:usb2="00000000" w:usb3="00000000" w:csb0="0004009F" w:csb1="DFD70000"/>
    <w:embedRegular r:id="rId5" w:fontKey="{2643F423-0C17-4A88-A35E-9AA39169C1F9}"/>
  </w:font>
  <w:font w:name="仿宋">
    <w:panose1 w:val="02010609060101010101"/>
    <w:charset w:val="86"/>
    <w:family w:val="modern"/>
    <w:pitch w:val="default"/>
    <w:sig w:usb0="800002BF" w:usb1="38CF7CFA" w:usb2="00000016" w:usb3="00000000" w:csb0="00040001" w:csb1="00000000"/>
    <w:embedRegular r:id="rId6" w:fontKey="{0A3F3026-1256-4D68-82CB-A807967E1A59}"/>
  </w:font>
  <w:font w:name="Wingdings 2">
    <w:panose1 w:val="05020102010507070707"/>
    <w:charset w:val="02"/>
    <w:family w:val="roman"/>
    <w:pitch w:val="default"/>
    <w:sig w:usb0="00000000" w:usb1="00000000" w:usb2="00000000" w:usb3="00000000" w:csb0="80000000" w:csb1="00000000"/>
    <w:embedRegular r:id="rId7" w:fontKey="{D369E1F8-69B7-4ADE-ADB0-13FD5BB867C9}"/>
  </w:font>
  <w:font w:name="等线">
    <w:panose1 w:val="02010600030101010101"/>
    <w:charset w:val="86"/>
    <w:family w:val="auto"/>
    <w:pitch w:val="default"/>
    <w:sig w:usb0="A00002BF" w:usb1="38CF7CFA" w:usb2="00000016" w:usb3="00000000" w:csb0="0004000F" w:csb1="00000000"/>
    <w:embedRegular r:id="rId8" w:fontKey="{296C5A41-BC1B-4D5E-A6FE-A86C79FF6A81}"/>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center" w:y="1"/>
      <w:rPr>
        <w:rStyle w:val="24"/>
      </w:rPr>
    </w:pPr>
    <w:r>
      <w:fldChar w:fldCharType="begin"/>
    </w:r>
    <w:r>
      <w:rPr>
        <w:rStyle w:val="24"/>
      </w:rPr>
      <w:instrText xml:space="preserve">PAGE  </w:instrText>
    </w:r>
    <w:r>
      <w:fldChar w:fldCharType="end"/>
    </w:r>
  </w:p>
  <w:p>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2NaI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tX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Y2NaI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57ZuItAgAAVw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57ZuI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tkyItAgAAV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atkyItAgAAVwQAAA4AAAAAAAAAAQAgAAAAHwEAAGRycy9lMm9Eb2MueG1sUEsFBgAAAAAG&#10;AAYAWQEAAL4FA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70</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9C0922"/>
    <w:multiLevelType w:val="singleLevel"/>
    <w:tmpl w:val="5F9C092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E0ZjBmMTI0YzEzZWVmZWZmNTVkYzA3NTc0YTVkY2IifQ=="/>
  </w:docVars>
  <w:rsids>
    <w:rsidRoot w:val="004A1B8C"/>
    <w:rsid w:val="00013413"/>
    <w:rsid w:val="00016211"/>
    <w:rsid w:val="00033B87"/>
    <w:rsid w:val="0004330D"/>
    <w:rsid w:val="00044969"/>
    <w:rsid w:val="000747A8"/>
    <w:rsid w:val="00092A7F"/>
    <w:rsid w:val="000C4DDC"/>
    <w:rsid w:val="000C7F82"/>
    <w:rsid w:val="000E2B3F"/>
    <w:rsid w:val="00101E39"/>
    <w:rsid w:val="00144985"/>
    <w:rsid w:val="001B4A31"/>
    <w:rsid w:val="001D68EF"/>
    <w:rsid w:val="002518BB"/>
    <w:rsid w:val="002B5AEA"/>
    <w:rsid w:val="002B7E23"/>
    <w:rsid w:val="00327CB1"/>
    <w:rsid w:val="00341992"/>
    <w:rsid w:val="003675EA"/>
    <w:rsid w:val="00385C0F"/>
    <w:rsid w:val="00390D1B"/>
    <w:rsid w:val="003D50CC"/>
    <w:rsid w:val="003E3BFD"/>
    <w:rsid w:val="003F576F"/>
    <w:rsid w:val="004061D0"/>
    <w:rsid w:val="00411237"/>
    <w:rsid w:val="00477633"/>
    <w:rsid w:val="004A1B8C"/>
    <w:rsid w:val="004F3E83"/>
    <w:rsid w:val="00501EBF"/>
    <w:rsid w:val="005424FA"/>
    <w:rsid w:val="00544D5D"/>
    <w:rsid w:val="005511AE"/>
    <w:rsid w:val="00562A86"/>
    <w:rsid w:val="005F0031"/>
    <w:rsid w:val="00613D97"/>
    <w:rsid w:val="00635AAF"/>
    <w:rsid w:val="0064116F"/>
    <w:rsid w:val="00666ED0"/>
    <w:rsid w:val="00692EDC"/>
    <w:rsid w:val="006B6898"/>
    <w:rsid w:val="006E00D5"/>
    <w:rsid w:val="006E2AB4"/>
    <w:rsid w:val="0073164B"/>
    <w:rsid w:val="00743759"/>
    <w:rsid w:val="007447DA"/>
    <w:rsid w:val="00753B2D"/>
    <w:rsid w:val="00797242"/>
    <w:rsid w:val="00797585"/>
    <w:rsid w:val="007B2A41"/>
    <w:rsid w:val="007D381B"/>
    <w:rsid w:val="007D3CEA"/>
    <w:rsid w:val="007D4A49"/>
    <w:rsid w:val="0080563F"/>
    <w:rsid w:val="008210E1"/>
    <w:rsid w:val="008246BE"/>
    <w:rsid w:val="00843FE2"/>
    <w:rsid w:val="00845D23"/>
    <w:rsid w:val="0085457B"/>
    <w:rsid w:val="008A4FBF"/>
    <w:rsid w:val="008A62D0"/>
    <w:rsid w:val="008D54EE"/>
    <w:rsid w:val="008E34FA"/>
    <w:rsid w:val="00924944"/>
    <w:rsid w:val="009269A2"/>
    <w:rsid w:val="00932695"/>
    <w:rsid w:val="00934A29"/>
    <w:rsid w:val="00937379"/>
    <w:rsid w:val="00960676"/>
    <w:rsid w:val="009A3C1F"/>
    <w:rsid w:val="009B2249"/>
    <w:rsid w:val="009D032C"/>
    <w:rsid w:val="009E5351"/>
    <w:rsid w:val="00A06811"/>
    <w:rsid w:val="00A136AC"/>
    <w:rsid w:val="00A25221"/>
    <w:rsid w:val="00A81E1B"/>
    <w:rsid w:val="00AB2238"/>
    <w:rsid w:val="00AC1A60"/>
    <w:rsid w:val="00AD7F37"/>
    <w:rsid w:val="00B6234D"/>
    <w:rsid w:val="00B654CF"/>
    <w:rsid w:val="00B712AF"/>
    <w:rsid w:val="00BA5112"/>
    <w:rsid w:val="00BB6F33"/>
    <w:rsid w:val="00BE1D66"/>
    <w:rsid w:val="00BE561C"/>
    <w:rsid w:val="00C00C04"/>
    <w:rsid w:val="00C34279"/>
    <w:rsid w:val="00C40024"/>
    <w:rsid w:val="00C45524"/>
    <w:rsid w:val="00C71811"/>
    <w:rsid w:val="00CA5C88"/>
    <w:rsid w:val="00CB59AA"/>
    <w:rsid w:val="00CD4DEF"/>
    <w:rsid w:val="00CF1F82"/>
    <w:rsid w:val="00CF761E"/>
    <w:rsid w:val="00CF7E04"/>
    <w:rsid w:val="00D70ED8"/>
    <w:rsid w:val="00D738F9"/>
    <w:rsid w:val="00D77A8F"/>
    <w:rsid w:val="00D911B8"/>
    <w:rsid w:val="00D9398C"/>
    <w:rsid w:val="00D947D3"/>
    <w:rsid w:val="00D9582B"/>
    <w:rsid w:val="00D975B1"/>
    <w:rsid w:val="00D97DEE"/>
    <w:rsid w:val="00DA3A77"/>
    <w:rsid w:val="00DB43F7"/>
    <w:rsid w:val="00DB5641"/>
    <w:rsid w:val="00DB78EA"/>
    <w:rsid w:val="00DC32A3"/>
    <w:rsid w:val="00DC7F68"/>
    <w:rsid w:val="00DD00A2"/>
    <w:rsid w:val="00DD3B37"/>
    <w:rsid w:val="00DF2A50"/>
    <w:rsid w:val="00DF67C7"/>
    <w:rsid w:val="00E16508"/>
    <w:rsid w:val="00E273EE"/>
    <w:rsid w:val="00E6576B"/>
    <w:rsid w:val="00E73809"/>
    <w:rsid w:val="00E75038"/>
    <w:rsid w:val="00E910A9"/>
    <w:rsid w:val="00EA424B"/>
    <w:rsid w:val="00EA6196"/>
    <w:rsid w:val="00ED1BAD"/>
    <w:rsid w:val="00EF7B9B"/>
    <w:rsid w:val="00F07D12"/>
    <w:rsid w:val="00F36C25"/>
    <w:rsid w:val="00F76EA1"/>
    <w:rsid w:val="00FB0222"/>
    <w:rsid w:val="00FC29A3"/>
    <w:rsid w:val="00FC61F5"/>
    <w:rsid w:val="010E0E4A"/>
    <w:rsid w:val="0111365F"/>
    <w:rsid w:val="01384146"/>
    <w:rsid w:val="017F6F52"/>
    <w:rsid w:val="01831A44"/>
    <w:rsid w:val="01F10B22"/>
    <w:rsid w:val="021555D4"/>
    <w:rsid w:val="02342C28"/>
    <w:rsid w:val="026E2AF7"/>
    <w:rsid w:val="02CB1CF7"/>
    <w:rsid w:val="03BB7721"/>
    <w:rsid w:val="03BE751E"/>
    <w:rsid w:val="04AB59EC"/>
    <w:rsid w:val="04EC1C20"/>
    <w:rsid w:val="052259B9"/>
    <w:rsid w:val="054139C4"/>
    <w:rsid w:val="056B1DD3"/>
    <w:rsid w:val="05AE270E"/>
    <w:rsid w:val="06451DC1"/>
    <w:rsid w:val="069A3EBB"/>
    <w:rsid w:val="06BB424B"/>
    <w:rsid w:val="06E75B1D"/>
    <w:rsid w:val="070E5EAC"/>
    <w:rsid w:val="074B7771"/>
    <w:rsid w:val="074C7E41"/>
    <w:rsid w:val="074F356E"/>
    <w:rsid w:val="08220100"/>
    <w:rsid w:val="08852948"/>
    <w:rsid w:val="08DB1811"/>
    <w:rsid w:val="09137F54"/>
    <w:rsid w:val="0A48676E"/>
    <w:rsid w:val="0A570314"/>
    <w:rsid w:val="0AEA32A2"/>
    <w:rsid w:val="0B5F3925"/>
    <w:rsid w:val="0B732F2C"/>
    <w:rsid w:val="0B786E60"/>
    <w:rsid w:val="0C1466D9"/>
    <w:rsid w:val="0C1B5CA5"/>
    <w:rsid w:val="0C341346"/>
    <w:rsid w:val="0C3F6032"/>
    <w:rsid w:val="0C7B25D3"/>
    <w:rsid w:val="0C922CD5"/>
    <w:rsid w:val="0E197DBB"/>
    <w:rsid w:val="0E8B01F6"/>
    <w:rsid w:val="0EAC15F9"/>
    <w:rsid w:val="0EB514AA"/>
    <w:rsid w:val="0EF70C15"/>
    <w:rsid w:val="0F36499C"/>
    <w:rsid w:val="0F852474"/>
    <w:rsid w:val="0F8A10EE"/>
    <w:rsid w:val="0F90010F"/>
    <w:rsid w:val="0FDC05ED"/>
    <w:rsid w:val="103533F0"/>
    <w:rsid w:val="103E21EB"/>
    <w:rsid w:val="11C6025A"/>
    <w:rsid w:val="11C90F52"/>
    <w:rsid w:val="12525F19"/>
    <w:rsid w:val="12B50216"/>
    <w:rsid w:val="12BE6E34"/>
    <w:rsid w:val="136D1FB7"/>
    <w:rsid w:val="13AB6098"/>
    <w:rsid w:val="14777D4A"/>
    <w:rsid w:val="14D50D5C"/>
    <w:rsid w:val="15001CD4"/>
    <w:rsid w:val="15292B01"/>
    <w:rsid w:val="15A77B14"/>
    <w:rsid w:val="15E554D3"/>
    <w:rsid w:val="16290DB7"/>
    <w:rsid w:val="17357DC2"/>
    <w:rsid w:val="173A5515"/>
    <w:rsid w:val="174523A6"/>
    <w:rsid w:val="175C1287"/>
    <w:rsid w:val="177B3728"/>
    <w:rsid w:val="17E86A50"/>
    <w:rsid w:val="18167A61"/>
    <w:rsid w:val="181C2E9C"/>
    <w:rsid w:val="18624A54"/>
    <w:rsid w:val="19033B41"/>
    <w:rsid w:val="195B1BCF"/>
    <w:rsid w:val="1A352420"/>
    <w:rsid w:val="1A363BBE"/>
    <w:rsid w:val="1A5D3725"/>
    <w:rsid w:val="1AB168B8"/>
    <w:rsid w:val="1B087B35"/>
    <w:rsid w:val="1B426464"/>
    <w:rsid w:val="1B8A679C"/>
    <w:rsid w:val="1BAE223C"/>
    <w:rsid w:val="1C8C6B54"/>
    <w:rsid w:val="1DE67F84"/>
    <w:rsid w:val="1E2307E2"/>
    <w:rsid w:val="1E331B72"/>
    <w:rsid w:val="1E945574"/>
    <w:rsid w:val="1F9E638C"/>
    <w:rsid w:val="1FCD6C57"/>
    <w:rsid w:val="20382A94"/>
    <w:rsid w:val="2089011D"/>
    <w:rsid w:val="20902A91"/>
    <w:rsid w:val="20936C2F"/>
    <w:rsid w:val="2096173F"/>
    <w:rsid w:val="20CF69FF"/>
    <w:rsid w:val="20FB31E9"/>
    <w:rsid w:val="21021EBC"/>
    <w:rsid w:val="215A09BE"/>
    <w:rsid w:val="21625B6A"/>
    <w:rsid w:val="2167352E"/>
    <w:rsid w:val="217575A6"/>
    <w:rsid w:val="218B501C"/>
    <w:rsid w:val="21B06830"/>
    <w:rsid w:val="21C458E2"/>
    <w:rsid w:val="21EB2E8A"/>
    <w:rsid w:val="21F21AF7"/>
    <w:rsid w:val="22895BD9"/>
    <w:rsid w:val="22A45553"/>
    <w:rsid w:val="235528B5"/>
    <w:rsid w:val="235648BC"/>
    <w:rsid w:val="236E0499"/>
    <w:rsid w:val="246F7A37"/>
    <w:rsid w:val="25843742"/>
    <w:rsid w:val="259D3628"/>
    <w:rsid w:val="25BC57A4"/>
    <w:rsid w:val="25C54480"/>
    <w:rsid w:val="267918E7"/>
    <w:rsid w:val="277A750D"/>
    <w:rsid w:val="28013942"/>
    <w:rsid w:val="290731DA"/>
    <w:rsid w:val="29B669AE"/>
    <w:rsid w:val="2A3C65B9"/>
    <w:rsid w:val="2A5200DA"/>
    <w:rsid w:val="2B431123"/>
    <w:rsid w:val="2BCC69C7"/>
    <w:rsid w:val="2C755557"/>
    <w:rsid w:val="2CE825DA"/>
    <w:rsid w:val="2D2E4048"/>
    <w:rsid w:val="2E006DD2"/>
    <w:rsid w:val="2E21220D"/>
    <w:rsid w:val="2E6C2B65"/>
    <w:rsid w:val="2EC82753"/>
    <w:rsid w:val="2ED3590C"/>
    <w:rsid w:val="2EE85A14"/>
    <w:rsid w:val="2F3668F4"/>
    <w:rsid w:val="2F5C3B54"/>
    <w:rsid w:val="2F786C7D"/>
    <w:rsid w:val="2F8A658F"/>
    <w:rsid w:val="2F8D52F5"/>
    <w:rsid w:val="2FDB2CCA"/>
    <w:rsid w:val="2FED3596"/>
    <w:rsid w:val="30054AD9"/>
    <w:rsid w:val="300A1801"/>
    <w:rsid w:val="30393E95"/>
    <w:rsid w:val="30454F7C"/>
    <w:rsid w:val="30466CDD"/>
    <w:rsid w:val="306C4840"/>
    <w:rsid w:val="31132938"/>
    <w:rsid w:val="31393DCE"/>
    <w:rsid w:val="316E0A7C"/>
    <w:rsid w:val="31C854D0"/>
    <w:rsid w:val="31EC1826"/>
    <w:rsid w:val="321B0EE2"/>
    <w:rsid w:val="32AA2C7A"/>
    <w:rsid w:val="332701CC"/>
    <w:rsid w:val="338113CC"/>
    <w:rsid w:val="33D66A9E"/>
    <w:rsid w:val="33D91C17"/>
    <w:rsid w:val="33F16546"/>
    <w:rsid w:val="34030A42"/>
    <w:rsid w:val="34414EE8"/>
    <w:rsid w:val="34580D8D"/>
    <w:rsid w:val="35C6441D"/>
    <w:rsid w:val="36211653"/>
    <w:rsid w:val="369E2CA4"/>
    <w:rsid w:val="36ED1096"/>
    <w:rsid w:val="36F51ED2"/>
    <w:rsid w:val="373B4CDC"/>
    <w:rsid w:val="374E7CD7"/>
    <w:rsid w:val="3774780A"/>
    <w:rsid w:val="377F4883"/>
    <w:rsid w:val="380A05F1"/>
    <w:rsid w:val="38327B47"/>
    <w:rsid w:val="3911686F"/>
    <w:rsid w:val="39251FC6"/>
    <w:rsid w:val="39A84565"/>
    <w:rsid w:val="39BF540B"/>
    <w:rsid w:val="3A065539"/>
    <w:rsid w:val="3A7A23B9"/>
    <w:rsid w:val="3B8227AD"/>
    <w:rsid w:val="3BA1763F"/>
    <w:rsid w:val="3BC4056C"/>
    <w:rsid w:val="3BFF187B"/>
    <w:rsid w:val="3C352A61"/>
    <w:rsid w:val="3CB02096"/>
    <w:rsid w:val="3CC1149A"/>
    <w:rsid w:val="3CDC2923"/>
    <w:rsid w:val="3CF9310E"/>
    <w:rsid w:val="3DC34193"/>
    <w:rsid w:val="3E1C2E2C"/>
    <w:rsid w:val="3E321A5A"/>
    <w:rsid w:val="3EEE3679"/>
    <w:rsid w:val="3F830C89"/>
    <w:rsid w:val="3F9A4D5E"/>
    <w:rsid w:val="3FC97F43"/>
    <w:rsid w:val="403B095F"/>
    <w:rsid w:val="404B5C4A"/>
    <w:rsid w:val="40B05AAD"/>
    <w:rsid w:val="40F07AA0"/>
    <w:rsid w:val="41B700BE"/>
    <w:rsid w:val="420C686B"/>
    <w:rsid w:val="424E557E"/>
    <w:rsid w:val="42713A5D"/>
    <w:rsid w:val="42E61C5A"/>
    <w:rsid w:val="43413334"/>
    <w:rsid w:val="43882D11"/>
    <w:rsid w:val="43A23DD3"/>
    <w:rsid w:val="43C143B9"/>
    <w:rsid w:val="443F4822"/>
    <w:rsid w:val="44953FBE"/>
    <w:rsid w:val="44A9036C"/>
    <w:rsid w:val="45085EB8"/>
    <w:rsid w:val="454D1DF8"/>
    <w:rsid w:val="45703A5D"/>
    <w:rsid w:val="45FB3E66"/>
    <w:rsid w:val="45FF375F"/>
    <w:rsid w:val="46060B94"/>
    <w:rsid w:val="46474E1E"/>
    <w:rsid w:val="46BC1650"/>
    <w:rsid w:val="46C6602A"/>
    <w:rsid w:val="471C6289"/>
    <w:rsid w:val="472114B3"/>
    <w:rsid w:val="474927B8"/>
    <w:rsid w:val="476D76B4"/>
    <w:rsid w:val="47FD50B0"/>
    <w:rsid w:val="487E46E3"/>
    <w:rsid w:val="48CC7A22"/>
    <w:rsid w:val="49052B59"/>
    <w:rsid w:val="491816B1"/>
    <w:rsid w:val="492D2391"/>
    <w:rsid w:val="493C4382"/>
    <w:rsid w:val="49430C48"/>
    <w:rsid w:val="49CC626E"/>
    <w:rsid w:val="4A3727DF"/>
    <w:rsid w:val="4A4E5408"/>
    <w:rsid w:val="4B6A470F"/>
    <w:rsid w:val="4BCE14DD"/>
    <w:rsid w:val="4BDB10EC"/>
    <w:rsid w:val="4BE01CBF"/>
    <w:rsid w:val="4BEE2CFC"/>
    <w:rsid w:val="4BFC67AA"/>
    <w:rsid w:val="4C0A7BEC"/>
    <w:rsid w:val="4C3B4DC5"/>
    <w:rsid w:val="4C9E7102"/>
    <w:rsid w:val="4CCF19B1"/>
    <w:rsid w:val="4D112219"/>
    <w:rsid w:val="4D1326F6"/>
    <w:rsid w:val="4D1D6E43"/>
    <w:rsid w:val="4D617E59"/>
    <w:rsid w:val="4D924229"/>
    <w:rsid w:val="4DC000CB"/>
    <w:rsid w:val="4E217FEA"/>
    <w:rsid w:val="4EA0469A"/>
    <w:rsid w:val="4EE93662"/>
    <w:rsid w:val="50830AE8"/>
    <w:rsid w:val="50C50BE3"/>
    <w:rsid w:val="51132401"/>
    <w:rsid w:val="51705BBD"/>
    <w:rsid w:val="51820BF5"/>
    <w:rsid w:val="51823496"/>
    <w:rsid w:val="51FC6DA4"/>
    <w:rsid w:val="520956B7"/>
    <w:rsid w:val="52D04220"/>
    <w:rsid w:val="536E3CD2"/>
    <w:rsid w:val="539D0113"/>
    <w:rsid w:val="55532C32"/>
    <w:rsid w:val="556829A3"/>
    <w:rsid w:val="55760AFD"/>
    <w:rsid w:val="55B1434A"/>
    <w:rsid w:val="55BB2AD2"/>
    <w:rsid w:val="55BD11F1"/>
    <w:rsid w:val="55F720EE"/>
    <w:rsid w:val="560B273A"/>
    <w:rsid w:val="562B7C58"/>
    <w:rsid w:val="563A5591"/>
    <w:rsid w:val="56A64C2A"/>
    <w:rsid w:val="56DA167E"/>
    <w:rsid w:val="57766F67"/>
    <w:rsid w:val="578D049F"/>
    <w:rsid w:val="57911D3D"/>
    <w:rsid w:val="58303B31"/>
    <w:rsid w:val="58C60012"/>
    <w:rsid w:val="593A2ED9"/>
    <w:rsid w:val="593C217C"/>
    <w:rsid w:val="59401C6C"/>
    <w:rsid w:val="59800187"/>
    <w:rsid w:val="59921988"/>
    <w:rsid w:val="59C01E74"/>
    <w:rsid w:val="59FD08AE"/>
    <w:rsid w:val="5A2A0227"/>
    <w:rsid w:val="5A2F1D92"/>
    <w:rsid w:val="5A551DD7"/>
    <w:rsid w:val="5A5B2AD6"/>
    <w:rsid w:val="5AE85BC7"/>
    <w:rsid w:val="5B3072A5"/>
    <w:rsid w:val="5B5E1C30"/>
    <w:rsid w:val="5B9B54BE"/>
    <w:rsid w:val="5B9F2F2D"/>
    <w:rsid w:val="5BA738E4"/>
    <w:rsid w:val="5BD62414"/>
    <w:rsid w:val="5C3167A2"/>
    <w:rsid w:val="5C602F2F"/>
    <w:rsid w:val="5C855BE8"/>
    <w:rsid w:val="5C966047"/>
    <w:rsid w:val="5CCC50A6"/>
    <w:rsid w:val="5D3C274B"/>
    <w:rsid w:val="5D831F10"/>
    <w:rsid w:val="5D8D5C0B"/>
    <w:rsid w:val="5DEF1EB3"/>
    <w:rsid w:val="5E466889"/>
    <w:rsid w:val="5E9C0644"/>
    <w:rsid w:val="5F5C1E79"/>
    <w:rsid w:val="5F7D704B"/>
    <w:rsid w:val="5F954394"/>
    <w:rsid w:val="5FD8134C"/>
    <w:rsid w:val="60202566"/>
    <w:rsid w:val="60410E37"/>
    <w:rsid w:val="61430D99"/>
    <w:rsid w:val="619A392D"/>
    <w:rsid w:val="61D963A7"/>
    <w:rsid w:val="61DC475E"/>
    <w:rsid w:val="628C7CD0"/>
    <w:rsid w:val="62917095"/>
    <w:rsid w:val="6313173E"/>
    <w:rsid w:val="6332133E"/>
    <w:rsid w:val="6358340E"/>
    <w:rsid w:val="63D00091"/>
    <w:rsid w:val="642F4DB7"/>
    <w:rsid w:val="64581E99"/>
    <w:rsid w:val="646D63CB"/>
    <w:rsid w:val="648D7D30"/>
    <w:rsid w:val="65653FF7"/>
    <w:rsid w:val="66865F95"/>
    <w:rsid w:val="6708720E"/>
    <w:rsid w:val="675C3547"/>
    <w:rsid w:val="676F3FA8"/>
    <w:rsid w:val="67760F4F"/>
    <w:rsid w:val="679D40E1"/>
    <w:rsid w:val="680E2F36"/>
    <w:rsid w:val="68213F33"/>
    <w:rsid w:val="68946D7A"/>
    <w:rsid w:val="68CB500D"/>
    <w:rsid w:val="68CD0876"/>
    <w:rsid w:val="697C4FC2"/>
    <w:rsid w:val="69AE565E"/>
    <w:rsid w:val="6A2D5ED5"/>
    <w:rsid w:val="6A7D43A3"/>
    <w:rsid w:val="6B1B6095"/>
    <w:rsid w:val="6BAF473A"/>
    <w:rsid w:val="6BBD539F"/>
    <w:rsid w:val="6C4D1644"/>
    <w:rsid w:val="6C501D6F"/>
    <w:rsid w:val="6C9A5FC3"/>
    <w:rsid w:val="6CD828D1"/>
    <w:rsid w:val="6CEF57C8"/>
    <w:rsid w:val="6E46167B"/>
    <w:rsid w:val="6E4D4259"/>
    <w:rsid w:val="6E931329"/>
    <w:rsid w:val="6E9C4E7A"/>
    <w:rsid w:val="6ED24CBD"/>
    <w:rsid w:val="6F1B2B08"/>
    <w:rsid w:val="6F71643E"/>
    <w:rsid w:val="6FD66A2F"/>
    <w:rsid w:val="70076BE8"/>
    <w:rsid w:val="70170A8F"/>
    <w:rsid w:val="70333E81"/>
    <w:rsid w:val="70691651"/>
    <w:rsid w:val="71067202"/>
    <w:rsid w:val="712D491D"/>
    <w:rsid w:val="713C5D4D"/>
    <w:rsid w:val="716C4D30"/>
    <w:rsid w:val="71D33446"/>
    <w:rsid w:val="71E03B95"/>
    <w:rsid w:val="720A0C12"/>
    <w:rsid w:val="726542E9"/>
    <w:rsid w:val="72933B8D"/>
    <w:rsid w:val="72FC2596"/>
    <w:rsid w:val="731F693F"/>
    <w:rsid w:val="735C3A39"/>
    <w:rsid w:val="73B02521"/>
    <w:rsid w:val="73CB0663"/>
    <w:rsid w:val="73E57BF6"/>
    <w:rsid w:val="74834F13"/>
    <w:rsid w:val="74956EB9"/>
    <w:rsid w:val="751A73BE"/>
    <w:rsid w:val="753541F8"/>
    <w:rsid w:val="756D1BE3"/>
    <w:rsid w:val="763F28A7"/>
    <w:rsid w:val="767E572A"/>
    <w:rsid w:val="76C911D2"/>
    <w:rsid w:val="76E721AE"/>
    <w:rsid w:val="77B07B65"/>
    <w:rsid w:val="7847671C"/>
    <w:rsid w:val="78896DC8"/>
    <w:rsid w:val="788F1E71"/>
    <w:rsid w:val="78972AD3"/>
    <w:rsid w:val="78A84CE1"/>
    <w:rsid w:val="794762A8"/>
    <w:rsid w:val="79704A67"/>
    <w:rsid w:val="79B22359"/>
    <w:rsid w:val="79B416DB"/>
    <w:rsid w:val="7A214D4A"/>
    <w:rsid w:val="7A37631C"/>
    <w:rsid w:val="7ACF185B"/>
    <w:rsid w:val="7AEC5358"/>
    <w:rsid w:val="7B191EC6"/>
    <w:rsid w:val="7B1D2D88"/>
    <w:rsid w:val="7B29767B"/>
    <w:rsid w:val="7B7343F0"/>
    <w:rsid w:val="7B767318"/>
    <w:rsid w:val="7B7A283A"/>
    <w:rsid w:val="7BCA2230"/>
    <w:rsid w:val="7BCF0C13"/>
    <w:rsid w:val="7C127041"/>
    <w:rsid w:val="7C2A2F43"/>
    <w:rsid w:val="7C977546"/>
    <w:rsid w:val="7C9B5288"/>
    <w:rsid w:val="7CB225D2"/>
    <w:rsid w:val="7CC63144"/>
    <w:rsid w:val="7D085874"/>
    <w:rsid w:val="7D0E5A5A"/>
    <w:rsid w:val="7ED92098"/>
    <w:rsid w:val="7EDA0885"/>
    <w:rsid w:val="7EF80591"/>
    <w:rsid w:val="7F4A619D"/>
    <w:rsid w:val="7FC113DB"/>
    <w:rsid w:val="7FDD17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semiHidden/>
    <w:unhideWhenUsed/>
    <w:qFormat/>
    <w:uiPriority w:val="0"/>
    <w:pPr>
      <w:spacing w:beforeAutospacing="1" w:afterAutospacing="1"/>
      <w:jc w:val="left"/>
      <w:outlineLvl w:val="1"/>
    </w:pPr>
    <w:rPr>
      <w:rFonts w:hint="eastAsia" w:ascii="宋体" w:hAnsi="宋体"/>
      <w:b/>
      <w:bCs/>
      <w:kern w:val="0"/>
      <w:sz w:val="36"/>
      <w:szCs w:val="36"/>
    </w:rPr>
  </w:style>
  <w:style w:type="paragraph" w:styleId="5">
    <w:name w:val="heading 3"/>
    <w:basedOn w:val="1"/>
    <w:next w:val="1"/>
    <w:qFormat/>
    <w:uiPriority w:val="0"/>
    <w:pPr>
      <w:keepNext/>
      <w:keepLines/>
      <w:outlineLvl w:val="2"/>
    </w:pPr>
  </w:style>
  <w:style w:type="paragraph" w:styleId="6">
    <w:name w:val="heading 4"/>
    <w:basedOn w:val="1"/>
    <w:next w:val="1"/>
    <w:qFormat/>
    <w:uiPriority w:val="0"/>
    <w:pPr>
      <w:keepNext/>
      <w:keepLines/>
      <w:spacing w:line="360" w:lineRule="auto"/>
      <w:outlineLvl w:val="3"/>
    </w:pPr>
    <w:rPr>
      <w:b/>
      <w:bCs/>
      <w:szCs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spacing w:beforeLines="50"/>
      <w:jc w:val="center"/>
    </w:pPr>
    <w:rPr>
      <w:rFonts w:ascii="黑体" w:eastAsia="黑体" w:cs="Symeteo"/>
      <w:sz w:val="24"/>
      <w:szCs w:val="20"/>
    </w:rPr>
  </w:style>
  <w:style w:type="paragraph" w:styleId="7">
    <w:name w:val="Note Heading"/>
    <w:basedOn w:val="1"/>
    <w:next w:val="1"/>
    <w:qFormat/>
    <w:uiPriority w:val="0"/>
    <w:pPr>
      <w:widowControl/>
      <w:spacing w:line="360" w:lineRule="auto"/>
      <w:jc w:val="center"/>
    </w:pPr>
    <w:rPr>
      <w:bCs/>
      <w:snapToGrid w:val="0"/>
      <w:kern w:val="0"/>
      <w:sz w:val="24"/>
      <w:lang w:val="en-GB"/>
    </w:rPr>
  </w:style>
  <w:style w:type="paragraph" w:styleId="8">
    <w:name w:val="annotation text"/>
    <w:basedOn w:val="1"/>
    <w:link w:val="58"/>
    <w:qFormat/>
    <w:uiPriority w:val="0"/>
    <w:pPr>
      <w:jc w:val="left"/>
    </w:pPr>
  </w:style>
  <w:style w:type="paragraph" w:styleId="9">
    <w:name w:val="index 6"/>
    <w:basedOn w:val="1"/>
    <w:next w:val="1"/>
    <w:qFormat/>
    <w:uiPriority w:val="0"/>
    <w:pPr>
      <w:ind w:left="1000" w:leftChars="1000"/>
    </w:pPr>
  </w:style>
  <w:style w:type="paragraph" w:styleId="10">
    <w:name w:val="Body Text"/>
    <w:basedOn w:val="1"/>
    <w:next w:val="1"/>
    <w:qFormat/>
    <w:uiPriority w:val="0"/>
    <w:pPr>
      <w:snapToGrid w:val="0"/>
      <w:spacing w:before="60" w:after="160" w:line="259" w:lineRule="auto"/>
      <w:ind w:right="113"/>
    </w:pPr>
    <w:rPr>
      <w:sz w:val="18"/>
      <w:szCs w:val="20"/>
    </w:rPr>
  </w:style>
  <w:style w:type="paragraph" w:styleId="11">
    <w:name w:val="Body Text Indent"/>
    <w:basedOn w:val="1"/>
    <w:qFormat/>
    <w:uiPriority w:val="0"/>
    <w:pPr>
      <w:spacing w:after="120"/>
      <w:ind w:left="420" w:leftChars="200"/>
    </w:pPr>
    <w:rPr>
      <w:kern w:val="0"/>
      <w:sz w:val="24"/>
      <w:szCs w:val="20"/>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0"/>
    <w:pPr>
      <w:tabs>
        <w:tab w:val="right" w:leader="dot" w:pos="9061"/>
      </w:tabs>
      <w:jc w:val="center"/>
    </w:pPr>
    <w:rPr>
      <w:b/>
      <w:sz w:val="28"/>
      <w:szCs w:val="28"/>
    </w:rPr>
  </w:style>
  <w:style w:type="paragraph" w:styleId="15">
    <w:name w:val="toc 2"/>
    <w:basedOn w:val="1"/>
    <w:next w:val="1"/>
    <w:unhideWhenUsed/>
    <w:qFormat/>
    <w:uiPriority w:val="39"/>
    <w:pPr>
      <w:ind w:left="210"/>
      <w:jc w:val="left"/>
    </w:pPr>
    <w:rPr>
      <w:rFonts w:ascii="Calibri" w:hAnsi="Calibri"/>
      <w:smallCaps/>
      <w:sz w:val="20"/>
      <w:szCs w:val="20"/>
    </w:rPr>
  </w:style>
  <w:style w:type="paragraph" w:styleId="16">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7">
    <w:name w:val="annotation subject"/>
    <w:basedOn w:val="8"/>
    <w:next w:val="8"/>
    <w:link w:val="59"/>
    <w:qFormat/>
    <w:uiPriority w:val="0"/>
    <w:rPr>
      <w:b/>
      <w:bCs/>
    </w:rPr>
  </w:style>
  <w:style w:type="paragraph" w:styleId="18">
    <w:name w:val="Body Text First Indent"/>
    <w:basedOn w:val="10"/>
    <w:qFormat/>
    <w:uiPriority w:val="0"/>
    <w:pPr>
      <w:ind w:firstLine="420" w:firstLineChars="100"/>
    </w:pPr>
  </w:style>
  <w:style w:type="paragraph" w:styleId="19">
    <w:name w:val="Body Text First Indent 2"/>
    <w:basedOn w:val="1"/>
    <w:next w:val="18"/>
    <w:unhideWhenUsed/>
    <w:qFormat/>
    <w:uiPriority w:val="0"/>
    <w:pPr>
      <w:ind w:firstLine="420"/>
    </w:p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page number"/>
    <w:basedOn w:val="22"/>
    <w:qFormat/>
    <w:uiPriority w:val="0"/>
  </w:style>
  <w:style w:type="character" w:styleId="25">
    <w:name w:val="annotation reference"/>
    <w:basedOn w:val="22"/>
    <w:semiHidden/>
    <w:qFormat/>
    <w:uiPriority w:val="0"/>
    <w:rPr>
      <w:sz w:val="21"/>
    </w:rPr>
  </w:style>
  <w:style w:type="paragraph" w:customStyle="1" w:styleId="26">
    <w:name w:val="正文(首行缩进)"/>
    <w:basedOn w:val="1"/>
    <w:qFormat/>
    <w:uiPriority w:val="0"/>
    <w:pPr>
      <w:spacing w:line="360" w:lineRule="auto"/>
      <w:ind w:firstLine="510"/>
    </w:pPr>
    <w:rPr>
      <w:rFonts w:ascii="宋体" w:hAnsi="宋体"/>
      <w:snapToGrid w:val="0"/>
      <w:kern w:val="0"/>
      <w:sz w:val="24"/>
    </w:rPr>
  </w:style>
  <w:style w:type="paragraph" w:customStyle="1" w:styleId="27">
    <w:name w:val="Default"/>
    <w:basedOn w:val="28"/>
    <w:unhideWhenUsed/>
    <w:qFormat/>
    <w:uiPriority w:val="99"/>
    <w:pPr>
      <w:autoSpaceDE w:val="0"/>
      <w:autoSpaceDN w:val="0"/>
    </w:pPr>
    <w:rPr>
      <w:rFonts w:hint="eastAsia" w:ascii="Calibri" w:hAnsi="Calibri" w:eastAsia="Times New Roman"/>
      <w:color w:val="000000"/>
      <w:sz w:val="24"/>
      <w:szCs w:val="22"/>
    </w:rPr>
  </w:style>
  <w:style w:type="paragraph" w:customStyle="1" w:styleId="28">
    <w:name w:val="纯文本1"/>
    <w:basedOn w:val="1"/>
    <w:qFormat/>
    <w:uiPriority w:val="0"/>
    <w:pPr>
      <w:adjustRightInd w:val="0"/>
    </w:pPr>
    <w:rPr>
      <w:rFonts w:ascii="宋体" w:hAnsi="Courier New"/>
      <w:szCs w:val="20"/>
    </w:rPr>
  </w:style>
  <w:style w:type="paragraph" w:customStyle="1" w:styleId="29">
    <w:name w:val="金皇-标题3"/>
    <w:basedOn w:val="5"/>
    <w:qFormat/>
    <w:uiPriority w:val="0"/>
    <w:pPr>
      <w:keepNext w:val="0"/>
      <w:keepLines w:val="0"/>
      <w:spacing w:line="360" w:lineRule="auto"/>
      <w:jc w:val="left"/>
    </w:pPr>
    <w:rPr>
      <w:rFonts w:eastAsia="黑体"/>
      <w:b/>
      <w:bCs/>
      <w:sz w:val="28"/>
      <w:szCs w:val="30"/>
    </w:rPr>
  </w:style>
  <w:style w:type="paragraph" w:customStyle="1" w:styleId="30">
    <w:name w:val="5文章(治)"/>
    <w:basedOn w:val="31"/>
    <w:qFormat/>
    <w:uiPriority w:val="0"/>
    <w:pPr>
      <w:adjustRightInd w:val="0"/>
      <w:snapToGrid w:val="0"/>
    </w:pPr>
    <w:rPr>
      <w:snapToGrid w:val="0"/>
      <w:szCs w:val="21"/>
    </w:rPr>
  </w:style>
  <w:style w:type="paragraph" w:customStyle="1" w:styleId="31">
    <w:name w:val="5文章正文"/>
    <w:basedOn w:val="1"/>
    <w:qFormat/>
    <w:uiPriority w:val="99"/>
    <w:pPr>
      <w:spacing w:line="360" w:lineRule="auto"/>
      <w:ind w:firstLine="200" w:firstLineChars="200"/>
    </w:pPr>
    <w:rPr>
      <w:kern w:val="0"/>
      <w:sz w:val="24"/>
    </w:rPr>
  </w:style>
  <w:style w:type="paragraph" w:customStyle="1" w:styleId="32">
    <w:name w:val="金皇-正文"/>
    <w:basedOn w:val="1"/>
    <w:link w:val="56"/>
    <w:qFormat/>
    <w:uiPriority w:val="0"/>
    <w:pPr>
      <w:spacing w:line="360" w:lineRule="auto"/>
      <w:ind w:firstLine="200" w:firstLineChars="200"/>
    </w:pPr>
    <w:rPr>
      <w:sz w:val="24"/>
    </w:rPr>
  </w:style>
  <w:style w:type="paragraph" w:customStyle="1" w:styleId="33">
    <w:name w:val="金皇-表（图）头"/>
    <w:basedOn w:val="1"/>
    <w:qFormat/>
    <w:uiPriority w:val="0"/>
    <w:pPr>
      <w:adjustRightInd w:val="0"/>
      <w:snapToGrid w:val="0"/>
      <w:jc w:val="center"/>
      <w:outlineLvl w:val="4"/>
    </w:pPr>
    <w:rPr>
      <w:rFonts w:eastAsia="黑体"/>
      <w:b/>
      <w:sz w:val="24"/>
    </w:rPr>
  </w:style>
  <w:style w:type="paragraph" w:customStyle="1" w:styleId="34">
    <w:name w:val="7表格(治)"/>
    <w:qFormat/>
    <w:uiPriority w:val="0"/>
    <w:pPr>
      <w:jc w:val="center"/>
    </w:pPr>
    <w:rPr>
      <w:rFonts w:ascii="Times New Roman" w:hAnsi="Times New Roman" w:eastAsia="宋体" w:cs="Times New Roman"/>
      <w:sz w:val="21"/>
      <w:szCs w:val="21"/>
      <w:lang w:val="en-US" w:eastAsia="zh-CN" w:bidi="ar-SA"/>
    </w:rPr>
  </w:style>
  <w:style w:type="paragraph" w:customStyle="1" w:styleId="35">
    <w:name w:val="金皇-表格内文字"/>
    <w:basedOn w:val="1"/>
    <w:qFormat/>
    <w:uiPriority w:val="0"/>
    <w:pPr>
      <w:tabs>
        <w:tab w:val="left" w:pos="0"/>
      </w:tabs>
      <w:adjustRightInd w:val="0"/>
      <w:snapToGrid w:val="0"/>
      <w:jc w:val="center"/>
    </w:pPr>
    <w:rPr>
      <w:snapToGrid w:val="0"/>
      <w:szCs w:val="21"/>
    </w:rPr>
  </w:style>
  <w:style w:type="paragraph" w:customStyle="1" w:styleId="36">
    <w:name w:val="金皇表（图）头"/>
    <w:basedOn w:val="1"/>
    <w:qFormat/>
    <w:uiPriority w:val="0"/>
    <w:pPr>
      <w:adjustRightInd w:val="0"/>
      <w:jc w:val="center"/>
      <w:outlineLvl w:val="4"/>
    </w:pPr>
    <w:rPr>
      <w:rFonts w:eastAsia="黑体"/>
      <w:b/>
      <w:sz w:val="24"/>
      <w:szCs w:val="22"/>
    </w:rPr>
  </w:style>
  <w:style w:type="paragraph" w:customStyle="1" w:styleId="37">
    <w:name w:val="T正文"/>
    <w:qFormat/>
    <w:uiPriority w:val="0"/>
    <w:pPr>
      <w:widowControl w:val="0"/>
      <w:spacing w:line="360" w:lineRule="auto"/>
      <w:ind w:firstLine="540"/>
      <w:jc w:val="both"/>
    </w:pPr>
    <w:rPr>
      <w:rFonts w:ascii="宋体" w:hAnsi="宋体" w:eastAsia="宋体" w:cs="宋体"/>
      <w:color w:val="000000"/>
      <w:sz w:val="28"/>
      <w:lang w:val="en-US" w:eastAsia="zh-CN" w:bidi="ar-SA"/>
    </w:rPr>
  </w:style>
  <w:style w:type="table" w:customStyle="1" w:styleId="38">
    <w:name w:val="Table Normal"/>
    <w:semiHidden/>
    <w:unhideWhenUsed/>
    <w:qFormat/>
    <w:uiPriority w:val="0"/>
    <w:tblPr>
      <w:tblCellMar>
        <w:top w:w="0" w:type="dxa"/>
        <w:left w:w="0" w:type="dxa"/>
        <w:bottom w:w="0" w:type="dxa"/>
        <w:right w:w="0" w:type="dxa"/>
      </w:tblCellMar>
    </w:tblPr>
  </w:style>
  <w:style w:type="paragraph" w:customStyle="1" w:styleId="39">
    <w:name w:val="表格内容"/>
    <w:basedOn w:val="1"/>
    <w:qFormat/>
    <w:uiPriority w:val="0"/>
    <w:pPr>
      <w:adjustRightInd w:val="0"/>
      <w:snapToGrid w:val="0"/>
      <w:jc w:val="center"/>
    </w:pPr>
    <w:rPr>
      <w:iCs/>
      <w:szCs w:val="21"/>
    </w:rPr>
  </w:style>
  <w:style w:type="paragraph" w:customStyle="1" w:styleId="40">
    <w:name w:val="zhang正文"/>
    <w:basedOn w:val="11"/>
    <w:next w:val="1"/>
    <w:qFormat/>
    <w:uiPriority w:val="0"/>
    <w:pPr>
      <w:autoSpaceDE w:val="0"/>
      <w:autoSpaceDN w:val="0"/>
      <w:adjustRightInd w:val="0"/>
      <w:snapToGrid w:val="0"/>
      <w:spacing w:line="500" w:lineRule="exact"/>
      <w:ind w:firstLine="539"/>
      <w:textAlignment w:val="baseline"/>
    </w:pPr>
    <w:rPr>
      <w:rFonts w:eastAsia="楷体_GB2312"/>
    </w:rPr>
  </w:style>
  <w:style w:type="paragraph" w:customStyle="1" w:styleId="41">
    <w:name w:val="Table Text"/>
    <w:basedOn w:val="1"/>
    <w:semiHidden/>
    <w:qFormat/>
    <w:uiPriority w:val="0"/>
    <w:rPr>
      <w:rFonts w:ascii="宋体" w:hAnsi="宋体" w:cs="宋体"/>
      <w:sz w:val="24"/>
      <w:lang w:eastAsia="en-US"/>
    </w:rPr>
  </w:style>
  <w:style w:type="paragraph" w:customStyle="1" w:styleId="42">
    <w:name w:val="金皇-标题4"/>
    <w:basedOn w:val="6"/>
    <w:qFormat/>
    <w:uiPriority w:val="0"/>
    <w:pPr>
      <w:tabs>
        <w:tab w:val="left" w:pos="420"/>
      </w:tabs>
      <w:ind w:right="-105"/>
      <w:jc w:val="left"/>
    </w:pPr>
    <w:rPr>
      <w:sz w:val="24"/>
    </w:rPr>
  </w:style>
  <w:style w:type="paragraph" w:customStyle="1" w:styleId="43">
    <w:name w:val="表格格式"/>
    <w:basedOn w:val="1"/>
    <w:qFormat/>
    <w:uiPriority w:val="0"/>
    <w:pPr>
      <w:widowControl/>
      <w:jc w:val="center"/>
    </w:pPr>
    <w:rPr>
      <w:bCs/>
      <w:szCs w:val="21"/>
    </w:rPr>
  </w:style>
  <w:style w:type="paragraph" w:customStyle="1" w:styleId="44">
    <w:name w:val="表格(大)"/>
    <w:basedOn w:val="1"/>
    <w:qFormat/>
    <w:uiPriority w:val="0"/>
    <w:pPr>
      <w:adjustRightInd w:val="0"/>
      <w:snapToGrid w:val="0"/>
      <w:spacing w:line="360" w:lineRule="auto"/>
      <w:jc w:val="center"/>
    </w:pPr>
    <w:rPr>
      <w:b/>
    </w:rPr>
  </w:style>
  <w:style w:type="paragraph" w:customStyle="1" w:styleId="45">
    <w:name w:val="正文1"/>
    <w:basedOn w:val="1"/>
    <w:qFormat/>
    <w:uiPriority w:val="0"/>
    <w:pPr>
      <w:spacing w:beforeLines="30" w:line="360" w:lineRule="auto"/>
      <w:ind w:firstLine="844" w:firstLineChars="200"/>
    </w:pPr>
    <w:rPr>
      <w:kern w:val="0"/>
      <w:sz w:val="24"/>
      <w:szCs w:val="20"/>
    </w:rPr>
  </w:style>
  <w:style w:type="paragraph" w:customStyle="1" w:styleId="46">
    <w:name w:val="111正文的格式"/>
    <w:basedOn w:val="1"/>
    <w:qFormat/>
    <w:uiPriority w:val="0"/>
    <w:pPr>
      <w:widowControl/>
      <w:adjustRightInd w:val="0"/>
      <w:snapToGrid w:val="0"/>
      <w:spacing w:line="360" w:lineRule="auto"/>
      <w:ind w:firstLine="480" w:firstLineChars="200"/>
    </w:pPr>
    <w:rPr>
      <w:color w:val="0000FF"/>
      <w:sz w:val="24"/>
    </w:rPr>
  </w:style>
  <w:style w:type="paragraph" w:customStyle="1" w:styleId="47">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48">
    <w:name w:val="表格5号居中"/>
    <w:next w:val="1"/>
    <w:qFormat/>
    <w:uiPriority w:val="99"/>
    <w:pPr>
      <w:widowControl w:val="0"/>
      <w:tabs>
        <w:tab w:val="right" w:pos="8640"/>
        <w:tab w:val="right" w:pos="8784"/>
      </w:tabs>
      <w:adjustRightInd w:val="0"/>
      <w:snapToGrid w:val="0"/>
      <w:jc w:val="center"/>
    </w:pPr>
    <w:rPr>
      <w:rFonts w:ascii="Times New Roman" w:hAnsi="Times New Roman" w:eastAsia="宋体" w:cs="Times New Roman"/>
      <w:iCs/>
      <w:color w:val="000000"/>
      <w:sz w:val="21"/>
      <w:szCs w:val="24"/>
      <w:lang w:val="en-US" w:eastAsia="zh-CN" w:bidi="ar-SA"/>
    </w:rPr>
  </w:style>
  <w:style w:type="paragraph" w:customStyle="1" w:styleId="49">
    <w:name w:val="金皇-标题2"/>
    <w:basedOn w:val="4"/>
    <w:qFormat/>
    <w:uiPriority w:val="0"/>
    <w:pPr>
      <w:spacing w:beforeAutospacing="0" w:afterAutospacing="0" w:line="360" w:lineRule="auto"/>
    </w:pPr>
    <w:rPr>
      <w:rFonts w:ascii="Times New Roman" w:hAnsi="Times New Roman"/>
      <w:sz w:val="32"/>
      <w:szCs w:val="32"/>
    </w:rPr>
  </w:style>
  <w:style w:type="paragraph" w:customStyle="1" w:styleId="50">
    <w:name w:val="表格内文字"/>
    <w:basedOn w:val="1"/>
    <w:qFormat/>
    <w:uiPriority w:val="0"/>
    <w:pPr>
      <w:tabs>
        <w:tab w:val="left" w:pos="0"/>
      </w:tabs>
      <w:adjustRightInd w:val="0"/>
      <w:snapToGrid w:val="0"/>
      <w:jc w:val="center"/>
    </w:pPr>
    <w:rPr>
      <w:szCs w:val="21"/>
    </w:rPr>
  </w:style>
  <w:style w:type="paragraph" w:customStyle="1" w:styleId="51">
    <w:name w:val="表格标题（）"/>
    <w:basedOn w:val="1"/>
    <w:qFormat/>
    <w:uiPriority w:val="0"/>
    <w:pPr>
      <w:jc w:val="center"/>
    </w:pPr>
    <w:rPr>
      <w:rFonts w:eastAsia="黑体"/>
      <w:color w:val="000000"/>
      <w:lang w:val="zh-CN" w:bidi="he-IL"/>
    </w:rPr>
  </w:style>
  <w:style w:type="paragraph" w:customStyle="1" w:styleId="52">
    <w:name w:val="表格内容（）"/>
    <w:basedOn w:val="1"/>
    <w:qFormat/>
    <w:uiPriority w:val="0"/>
    <w:pPr>
      <w:jc w:val="center"/>
    </w:pPr>
    <w:rPr>
      <w:color w:val="00B0F0"/>
      <w:szCs w:val="21"/>
    </w:rPr>
  </w:style>
  <w:style w:type="paragraph" w:customStyle="1" w:styleId="53">
    <w:name w:val="3标题(治)"/>
    <w:basedOn w:val="5"/>
    <w:qFormat/>
    <w:uiPriority w:val="0"/>
    <w:pPr>
      <w:tabs>
        <w:tab w:val="left" w:pos="720"/>
      </w:tabs>
      <w:adjustRightInd w:val="0"/>
      <w:snapToGrid w:val="0"/>
      <w:spacing w:line="360" w:lineRule="auto"/>
      <w:textAlignment w:val="baseline"/>
    </w:pPr>
    <w:rPr>
      <w:rFonts w:eastAsia="黑体"/>
      <w:kern w:val="0"/>
      <w:sz w:val="28"/>
      <w:szCs w:val="28"/>
      <w:lang w:val="zh-CN"/>
    </w:rPr>
  </w:style>
  <w:style w:type="paragraph" w:customStyle="1" w:styleId="54">
    <w:name w:val="Char3"/>
    <w:basedOn w:val="1"/>
    <w:qFormat/>
    <w:uiPriority w:val="0"/>
    <w:pPr>
      <w:spacing w:line="360" w:lineRule="auto"/>
      <w:ind w:firstLine="200" w:firstLineChars="200"/>
    </w:pPr>
    <w:rPr>
      <w:rFonts w:ascii="宋体" w:hAnsi="宋体" w:cs="宋体"/>
      <w:sz w:val="24"/>
    </w:rPr>
  </w:style>
  <w:style w:type="paragraph" w:customStyle="1" w:styleId="55">
    <w:name w:val="表格"/>
    <w:basedOn w:val="1"/>
    <w:qFormat/>
    <w:uiPriority w:val="0"/>
    <w:pPr>
      <w:adjustRightInd w:val="0"/>
      <w:snapToGrid w:val="0"/>
      <w:spacing w:beforeLines="23" w:afterLines="23" w:line="259" w:lineRule="auto"/>
      <w:jc w:val="center"/>
    </w:pPr>
    <w:rPr>
      <w:rFonts w:ascii="宋体"/>
      <w:kern w:val="0"/>
      <w:szCs w:val="20"/>
    </w:rPr>
  </w:style>
  <w:style w:type="character" w:customStyle="1" w:styleId="56">
    <w:name w:val="金皇-正文 Char"/>
    <w:link w:val="32"/>
    <w:qFormat/>
    <w:uiPriority w:val="0"/>
    <w:rPr>
      <w:rFonts w:ascii="Times New Roman" w:hAnsi="Times New Roman" w:eastAsia="宋体"/>
      <w:sz w:val="24"/>
    </w:rPr>
  </w:style>
  <w:style w:type="paragraph" w:customStyle="1" w:styleId="57">
    <w:name w:val="金皇备注"/>
    <w:basedOn w:val="1"/>
    <w:next w:val="1"/>
    <w:qFormat/>
    <w:uiPriority w:val="0"/>
    <w:pPr>
      <w:widowControl/>
      <w:jc w:val="left"/>
    </w:pPr>
    <w:rPr>
      <w:i/>
      <w:lang w:eastAsia="en-US" w:bidi="en-US"/>
    </w:rPr>
  </w:style>
  <w:style w:type="character" w:customStyle="1" w:styleId="58">
    <w:name w:val="批注文字 字符"/>
    <w:basedOn w:val="22"/>
    <w:link w:val="8"/>
    <w:qFormat/>
    <w:uiPriority w:val="0"/>
    <w:rPr>
      <w:kern w:val="2"/>
      <w:sz w:val="21"/>
      <w:szCs w:val="24"/>
    </w:rPr>
  </w:style>
  <w:style w:type="character" w:customStyle="1" w:styleId="59">
    <w:name w:val="批注主题 字符"/>
    <w:basedOn w:val="58"/>
    <w:link w:val="17"/>
    <w:qFormat/>
    <w:uiPriority w:val="0"/>
    <w:rPr>
      <w:b/>
      <w:bCs/>
      <w:kern w:val="2"/>
      <w:sz w:val="21"/>
      <w:szCs w:val="24"/>
    </w:rPr>
  </w:style>
  <w:style w:type="paragraph" w:customStyle="1" w:styleId="60">
    <w:name w:val="金皇-备注"/>
    <w:basedOn w:val="1"/>
    <w:next w:val="1"/>
    <w:qFormat/>
    <w:uiPriority w:val="0"/>
    <w:pPr>
      <w:widowControl/>
      <w:jc w:val="left"/>
    </w:pPr>
    <w:rPr>
      <w:i/>
      <w:lang w:eastAsia="en-US" w:bidi="en-US"/>
    </w:rPr>
  </w:style>
  <w:style w:type="paragraph" w:customStyle="1" w:styleId="61">
    <w:name w:val="表格名称"/>
    <w:basedOn w:val="1"/>
    <w:qFormat/>
    <w:uiPriority w:val="0"/>
    <w:pPr>
      <w:tabs>
        <w:tab w:val="left" w:pos="1980"/>
        <w:tab w:val="left" w:pos="3825"/>
        <w:tab w:val="left" w:pos="4680"/>
      </w:tabs>
      <w:jc w:val="center"/>
    </w:pPr>
    <w:rPr>
      <w:b/>
      <w:kern w:val="0"/>
    </w:rPr>
  </w:style>
  <w:style w:type="paragraph" w:customStyle="1" w:styleId="62">
    <w:name w:val="环评正文"/>
    <w:basedOn w:val="1"/>
    <w:qFormat/>
    <w:uiPriority w:val="99"/>
    <w:pPr>
      <w:spacing w:line="360" w:lineRule="auto"/>
      <w:ind w:firstLine="600" w:firstLineChars="200"/>
      <w:jc w:val="left"/>
    </w:pPr>
    <w:rPr>
      <w:sz w:val="24"/>
    </w:rPr>
  </w:style>
  <w:style w:type="paragraph" w:customStyle="1" w:styleId="63">
    <w:name w:val="金皇表中"/>
    <w:basedOn w:val="1"/>
    <w:next w:val="1"/>
    <w:qFormat/>
    <w:uiPriority w:val="0"/>
    <w:pPr>
      <w:jc w:val="center"/>
    </w:pPr>
    <w:rPr>
      <w:szCs w:val="21"/>
    </w:rPr>
  </w:style>
  <w:style w:type="paragraph" w:customStyle="1" w:styleId="64">
    <w:name w:val="金皇正文"/>
    <w:qFormat/>
    <w:uiPriority w:val="0"/>
    <w:pPr>
      <w:widowControl w:val="0"/>
      <w:spacing w:line="360" w:lineRule="auto"/>
      <w:ind w:firstLine="723" w:firstLineChars="200"/>
      <w:jc w:val="both"/>
    </w:pPr>
    <w:rPr>
      <w:rFonts w:ascii="Times New Roman" w:hAnsi="Times New Roman" w:eastAsia="宋体" w:cs="Times New Roman"/>
      <w:kern w:val="2"/>
      <w:sz w:val="24"/>
      <w:szCs w:val="22"/>
      <w:lang w:val="en-US" w:eastAsia="zh-CN" w:bidi="ar-SA"/>
    </w:rPr>
  </w:style>
  <w:style w:type="paragraph" w:customStyle="1" w:styleId="65">
    <w:name w:val="金皇表名"/>
    <w:qFormat/>
    <w:uiPriority w:val="0"/>
    <w:pPr>
      <w:jc w:val="center"/>
      <w:outlineLvl w:val="4"/>
    </w:pPr>
    <w:rPr>
      <w:rFonts w:ascii="Times New Roman" w:hAnsi="Times New Roman" w:eastAsia="宋体" w:cs="Tahoma"/>
      <w:b/>
      <w:sz w:val="24"/>
      <w:lang w:val="en-US" w:eastAsia="zh-CN" w:bidi="ar-SA"/>
    </w:rPr>
  </w:style>
  <w:style w:type="character" w:customStyle="1" w:styleId="66">
    <w:name w:val="font31"/>
    <w:basedOn w:val="22"/>
    <w:qFormat/>
    <w:uiPriority w:val="0"/>
    <w:rPr>
      <w:rFonts w:hint="eastAsia" w:ascii="宋体" w:hAnsi="宋体" w:eastAsia="宋体" w:cs="宋体"/>
      <w:color w:val="000000"/>
      <w:sz w:val="21"/>
      <w:szCs w:val="21"/>
      <w:u w:val="none"/>
    </w:rPr>
  </w:style>
  <w:style w:type="character" w:customStyle="1" w:styleId="67">
    <w:name w:val="font51"/>
    <w:basedOn w:val="22"/>
    <w:qFormat/>
    <w:uiPriority w:val="0"/>
    <w:rPr>
      <w:rFonts w:hint="default" w:ascii="Times New Roman" w:hAnsi="Times New Roman" w:cs="Times New Roman"/>
      <w:color w:val="000000"/>
      <w:sz w:val="21"/>
      <w:szCs w:val="21"/>
      <w:u w:val="none"/>
      <w:vertAlign w:val="subscript"/>
    </w:rPr>
  </w:style>
  <w:style w:type="character" w:customStyle="1" w:styleId="68">
    <w:name w:val="font21"/>
    <w:basedOn w:val="22"/>
    <w:qFormat/>
    <w:uiPriority w:val="0"/>
    <w:rPr>
      <w:rFonts w:hint="default" w:ascii="Times New Roman" w:hAnsi="Times New Roman" w:cs="Times New Roman"/>
      <w:color w:val="000000"/>
      <w:sz w:val="21"/>
      <w:szCs w:val="21"/>
      <w:u w:val="none"/>
    </w:rPr>
  </w:style>
  <w:style w:type="character" w:customStyle="1" w:styleId="69">
    <w:name w:val="font41"/>
    <w:basedOn w:val="22"/>
    <w:qFormat/>
    <w:uiPriority w:val="0"/>
    <w:rPr>
      <w:rFonts w:hint="default" w:ascii="Times New Roman" w:hAnsi="Times New Roman" w:cs="Times New Roman"/>
      <w:color w:val="000000"/>
      <w:sz w:val="21"/>
      <w:szCs w:val="21"/>
      <w:u w:val="none"/>
      <w:vertAlign w:val="superscript"/>
    </w:rPr>
  </w:style>
  <w:style w:type="paragraph" w:customStyle="1" w:styleId="70">
    <w:name w:val="小标题"/>
    <w:basedOn w:val="62"/>
    <w:next w:val="62"/>
    <w:qFormat/>
    <w:uiPriority w:val="99"/>
    <w:pPr>
      <w:spacing w:line="240" w:lineRule="auto"/>
      <w:ind w:firstLine="0" w:firstLineChars="0"/>
      <w:jc w:val="center"/>
    </w:pPr>
    <w:rPr>
      <w:b/>
    </w:rPr>
  </w:style>
  <w:style w:type="character" w:customStyle="1" w:styleId="71">
    <w:name w:val="font71"/>
    <w:basedOn w:val="22"/>
    <w:qFormat/>
    <w:uiPriority w:val="0"/>
    <w:rPr>
      <w:rFonts w:hint="eastAsia" w:ascii="宋体" w:hAnsi="宋体" w:eastAsia="宋体" w:cs="宋体"/>
      <w:color w:val="000000"/>
      <w:sz w:val="22"/>
      <w:szCs w:val="22"/>
      <w:u w:val="none"/>
    </w:rPr>
  </w:style>
  <w:style w:type="character" w:customStyle="1" w:styleId="72">
    <w:name w:val="font61"/>
    <w:basedOn w:val="22"/>
    <w:qFormat/>
    <w:uiPriority w:val="0"/>
    <w:rPr>
      <w:rFonts w:hint="default" w:ascii="Times New Roman" w:hAnsi="Times New Roman" w:cs="Times New Roman"/>
      <w:color w:val="000000"/>
      <w:sz w:val="22"/>
      <w:szCs w:val="22"/>
      <w:u w:val="none"/>
      <w:vertAlign w:val="superscript"/>
    </w:rPr>
  </w:style>
  <w:style w:type="character" w:customStyle="1" w:styleId="73">
    <w:name w:val="font11"/>
    <w:basedOn w:val="22"/>
    <w:qFormat/>
    <w:uiPriority w:val="0"/>
    <w:rPr>
      <w:rFonts w:hint="default" w:ascii="Times New Roman" w:hAnsi="Times New Roman" w:cs="Times New Roman"/>
      <w:color w:val="000000"/>
      <w:sz w:val="22"/>
      <w:szCs w:val="22"/>
      <w:u w:val="none"/>
    </w:rPr>
  </w:style>
  <w:style w:type="character" w:customStyle="1" w:styleId="74">
    <w:name w:val="font81"/>
    <w:basedOn w:val="22"/>
    <w:qFormat/>
    <w:uiPriority w:val="0"/>
    <w:rPr>
      <w:rFonts w:hint="default" w:ascii="Times New Roman" w:hAnsi="Times New Roman" w:cs="Times New Roman"/>
      <w:color w:val="000000"/>
      <w:sz w:val="22"/>
      <w:szCs w:val="22"/>
      <w:u w:val="none"/>
      <w:vertAlign w:val="subscript"/>
    </w:rPr>
  </w:style>
  <w:style w:type="paragraph" w:customStyle="1" w:styleId="75">
    <w:name w:val="修订1"/>
    <w:hidden/>
    <w:unhideWhenUsed/>
    <w:qFormat/>
    <w:uiPriority w:val="99"/>
    <w:rPr>
      <w:rFonts w:ascii="Times New Roman" w:hAnsi="Times New Roman" w:eastAsia="宋体" w:cs="Times New Roman"/>
      <w:kern w:val="2"/>
      <w:sz w:val="21"/>
      <w:szCs w:val="24"/>
      <w:lang w:val="en-US" w:eastAsia="zh-CN" w:bidi="ar-SA"/>
    </w:rPr>
  </w:style>
  <w:style w:type="paragraph" w:customStyle="1" w:styleId="76">
    <w:name w:val="0正文"/>
    <w:basedOn w:val="16"/>
    <w:qFormat/>
    <w:uiPriority w:val="0"/>
    <w:pPr>
      <w:spacing w:before="0" w:beforeAutospacing="0" w:after="0" w:afterAutospacing="0" w:line="360" w:lineRule="auto"/>
      <w:ind w:firstLine="482"/>
      <w:jc w:val="both"/>
    </w:pPr>
    <w:rPr>
      <w:rFonts w:ascii="Times New Roman" w:hAnsi="Times New Roman"/>
      <w:kern w:val="2"/>
      <w:szCs w:val="24"/>
    </w:rPr>
  </w:style>
  <w:style w:type="paragraph" w:customStyle="1" w:styleId="77">
    <w:name w:val="文本"/>
    <w:basedOn w:val="1"/>
    <w:qFormat/>
    <w:uiPriority w:val="0"/>
    <w:pPr>
      <w:spacing w:line="360" w:lineRule="auto"/>
      <w:ind w:firstLine="200" w:firstLineChars="200"/>
    </w:pPr>
  </w:style>
  <w:style w:type="paragraph" w:customStyle="1" w:styleId="78">
    <w:name w:val="图"/>
    <w:basedOn w:val="1"/>
    <w:qFormat/>
    <w:uiPriority w:val="0"/>
    <w:pPr>
      <w:ind w:firstLine="480" w:firstLineChars="200"/>
      <w:jc w:val="center"/>
    </w:pPr>
    <w:rPr>
      <w:rFonts w:eastAsia="黑体"/>
      <w:b/>
      <w:szCs w:val="18"/>
    </w:rPr>
  </w:style>
  <w:style w:type="paragraph" w:customStyle="1" w:styleId="79">
    <w:name w:val="5段落"/>
    <w:basedOn w:val="1"/>
    <w:qFormat/>
    <w:uiPriority w:val="0"/>
    <w:pPr>
      <w:spacing w:line="360" w:lineRule="auto"/>
      <w:ind w:firstLine="480" w:firstLineChars="200"/>
    </w:pPr>
    <w:rPr>
      <w:rFonts w:ascii="Calibri" w:hAnsi="Calibri"/>
      <w:color w:val="000000"/>
    </w:rPr>
  </w:style>
  <w:style w:type="paragraph" w:customStyle="1" w:styleId="80">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81">
    <w:name w:val="font01"/>
    <w:basedOn w:val="22"/>
    <w:qFormat/>
    <w:uiPriority w:val="0"/>
    <w:rPr>
      <w:rFonts w:hint="eastAsia" w:ascii="宋体" w:hAnsi="宋体" w:eastAsia="宋体" w:cs="宋体"/>
      <w:color w:val="000000"/>
      <w:sz w:val="22"/>
      <w:szCs w:val="22"/>
      <w:u w:val="none"/>
    </w:rPr>
  </w:style>
  <w:style w:type="paragraph" w:customStyle="1" w:styleId="82">
    <w:name w:val="1表格"/>
    <w:basedOn w:val="83"/>
    <w:qFormat/>
    <w:uiPriority w:val="0"/>
    <w:pPr>
      <w:adjustRightInd/>
      <w:spacing w:line="160" w:lineRule="atLeast"/>
      <w:ind w:firstLine="0" w:firstLineChars="0"/>
      <w:jc w:val="center"/>
    </w:pPr>
    <w:rPr>
      <w:sz w:val="21"/>
    </w:rPr>
  </w:style>
  <w:style w:type="paragraph" w:customStyle="1" w:styleId="83">
    <w:name w:val="1文章"/>
    <w:basedOn w:val="1"/>
    <w:qFormat/>
    <w:uiPriority w:val="0"/>
    <w:pPr>
      <w:snapToGrid w:val="0"/>
      <w:spacing w:line="360" w:lineRule="auto"/>
      <w:ind w:firstLine="510"/>
    </w:pPr>
    <w:rPr>
      <w:sz w:val="28"/>
      <w:szCs w:val="20"/>
    </w:rPr>
  </w:style>
  <w:style w:type="paragraph" w:customStyle="1" w:styleId="84">
    <w:name w:val="1表格头"/>
    <w:basedOn w:val="82"/>
    <w:qFormat/>
    <w:uiPriority w:val="0"/>
    <w:rPr>
      <w:rFonts w:ascii="黑体" w:eastAsia="黑体"/>
      <w:sz w:val="2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image" Target="media/image47.wmf"/><Relationship Id="rId96" Type="http://schemas.openxmlformats.org/officeDocument/2006/relationships/oleObject" Target="embeddings/oleObject41.bin"/><Relationship Id="rId95" Type="http://schemas.openxmlformats.org/officeDocument/2006/relationships/image" Target="media/image46.wmf"/><Relationship Id="rId94" Type="http://schemas.openxmlformats.org/officeDocument/2006/relationships/oleObject" Target="embeddings/oleObject40.bin"/><Relationship Id="rId93" Type="http://schemas.openxmlformats.org/officeDocument/2006/relationships/image" Target="media/image45.wmf"/><Relationship Id="rId92" Type="http://schemas.openxmlformats.org/officeDocument/2006/relationships/oleObject" Target="embeddings/oleObject39.bin"/><Relationship Id="rId91" Type="http://schemas.openxmlformats.org/officeDocument/2006/relationships/image" Target="media/image44.wmf"/><Relationship Id="rId90" Type="http://schemas.openxmlformats.org/officeDocument/2006/relationships/oleObject" Target="embeddings/oleObject38.bin"/><Relationship Id="rId9" Type="http://schemas.openxmlformats.org/officeDocument/2006/relationships/theme" Target="theme/theme1.xml"/><Relationship Id="rId89" Type="http://schemas.openxmlformats.org/officeDocument/2006/relationships/image" Target="media/image43.wmf"/><Relationship Id="rId88" Type="http://schemas.openxmlformats.org/officeDocument/2006/relationships/oleObject" Target="embeddings/oleObject37.bin"/><Relationship Id="rId87" Type="http://schemas.openxmlformats.org/officeDocument/2006/relationships/image" Target="media/image42.wmf"/><Relationship Id="rId86" Type="http://schemas.openxmlformats.org/officeDocument/2006/relationships/oleObject" Target="embeddings/oleObject36.bin"/><Relationship Id="rId85" Type="http://schemas.openxmlformats.org/officeDocument/2006/relationships/image" Target="media/image41.wmf"/><Relationship Id="rId84" Type="http://schemas.openxmlformats.org/officeDocument/2006/relationships/oleObject" Target="embeddings/oleObject35.bin"/><Relationship Id="rId83" Type="http://schemas.openxmlformats.org/officeDocument/2006/relationships/image" Target="media/image40.wmf"/><Relationship Id="rId82" Type="http://schemas.openxmlformats.org/officeDocument/2006/relationships/oleObject" Target="embeddings/oleObject34.bin"/><Relationship Id="rId81" Type="http://schemas.openxmlformats.org/officeDocument/2006/relationships/image" Target="media/image39.wmf"/><Relationship Id="rId80" Type="http://schemas.openxmlformats.org/officeDocument/2006/relationships/oleObject" Target="embeddings/oleObject33.bin"/><Relationship Id="rId8" Type="http://schemas.openxmlformats.org/officeDocument/2006/relationships/footer" Target="footer6.xml"/><Relationship Id="rId79" Type="http://schemas.openxmlformats.org/officeDocument/2006/relationships/oleObject" Target="embeddings/oleObject32.bin"/><Relationship Id="rId78" Type="http://schemas.openxmlformats.org/officeDocument/2006/relationships/image" Target="media/image38.wmf"/><Relationship Id="rId77" Type="http://schemas.openxmlformats.org/officeDocument/2006/relationships/oleObject" Target="embeddings/oleObject31.bin"/><Relationship Id="rId76" Type="http://schemas.openxmlformats.org/officeDocument/2006/relationships/image" Target="media/image37.wmf"/><Relationship Id="rId75" Type="http://schemas.openxmlformats.org/officeDocument/2006/relationships/oleObject" Target="embeddings/oleObject30.bin"/><Relationship Id="rId74" Type="http://schemas.openxmlformats.org/officeDocument/2006/relationships/image" Target="media/image36.wmf"/><Relationship Id="rId73" Type="http://schemas.openxmlformats.org/officeDocument/2006/relationships/oleObject" Target="embeddings/oleObject29.bin"/><Relationship Id="rId72" Type="http://schemas.openxmlformats.org/officeDocument/2006/relationships/oleObject" Target="embeddings/oleObject28.bin"/><Relationship Id="rId71" Type="http://schemas.openxmlformats.org/officeDocument/2006/relationships/oleObject" Target="embeddings/oleObject27.bin"/><Relationship Id="rId70" Type="http://schemas.openxmlformats.org/officeDocument/2006/relationships/oleObject" Target="embeddings/oleObject26.bin"/><Relationship Id="rId7" Type="http://schemas.openxmlformats.org/officeDocument/2006/relationships/footer" Target="footer5.xml"/><Relationship Id="rId69" Type="http://schemas.openxmlformats.org/officeDocument/2006/relationships/oleObject" Target="embeddings/oleObject25.bin"/><Relationship Id="rId68" Type="http://schemas.openxmlformats.org/officeDocument/2006/relationships/image" Target="media/image35.wmf"/><Relationship Id="rId67" Type="http://schemas.openxmlformats.org/officeDocument/2006/relationships/oleObject" Target="embeddings/oleObject24.bin"/><Relationship Id="rId66" Type="http://schemas.openxmlformats.org/officeDocument/2006/relationships/image" Target="media/image34.wmf"/><Relationship Id="rId65" Type="http://schemas.openxmlformats.org/officeDocument/2006/relationships/oleObject" Target="embeddings/oleObject23.bin"/><Relationship Id="rId64" Type="http://schemas.openxmlformats.org/officeDocument/2006/relationships/image" Target="media/image33.wmf"/><Relationship Id="rId63" Type="http://schemas.openxmlformats.org/officeDocument/2006/relationships/oleObject" Target="embeddings/oleObject22.bin"/><Relationship Id="rId62" Type="http://schemas.openxmlformats.org/officeDocument/2006/relationships/image" Target="media/image32.wmf"/><Relationship Id="rId61" Type="http://schemas.openxmlformats.org/officeDocument/2006/relationships/oleObject" Target="embeddings/oleObject21.bin"/><Relationship Id="rId60" Type="http://schemas.openxmlformats.org/officeDocument/2006/relationships/image" Target="media/image31.wmf"/><Relationship Id="rId6" Type="http://schemas.openxmlformats.org/officeDocument/2006/relationships/footer" Target="footer4.xml"/><Relationship Id="rId59" Type="http://schemas.openxmlformats.org/officeDocument/2006/relationships/oleObject" Target="embeddings/oleObject20.bin"/><Relationship Id="rId58" Type="http://schemas.openxmlformats.org/officeDocument/2006/relationships/image" Target="media/image30.wmf"/><Relationship Id="rId57" Type="http://schemas.openxmlformats.org/officeDocument/2006/relationships/oleObject" Target="embeddings/oleObject19.bin"/><Relationship Id="rId56" Type="http://schemas.openxmlformats.org/officeDocument/2006/relationships/image" Target="media/image29.wmf"/><Relationship Id="rId55" Type="http://schemas.openxmlformats.org/officeDocument/2006/relationships/oleObject" Target="embeddings/oleObject18.bin"/><Relationship Id="rId54" Type="http://schemas.openxmlformats.org/officeDocument/2006/relationships/image" Target="media/image28.wmf"/><Relationship Id="rId53" Type="http://schemas.openxmlformats.org/officeDocument/2006/relationships/oleObject" Target="embeddings/oleObject17.bin"/><Relationship Id="rId52" Type="http://schemas.openxmlformats.org/officeDocument/2006/relationships/image" Target="media/image27.wmf"/><Relationship Id="rId51" Type="http://schemas.openxmlformats.org/officeDocument/2006/relationships/oleObject" Target="embeddings/oleObject16.bin"/><Relationship Id="rId50" Type="http://schemas.openxmlformats.org/officeDocument/2006/relationships/image" Target="media/image26.wmf"/><Relationship Id="rId5" Type="http://schemas.openxmlformats.org/officeDocument/2006/relationships/footer" Target="footer3.xml"/><Relationship Id="rId49" Type="http://schemas.openxmlformats.org/officeDocument/2006/relationships/oleObject" Target="embeddings/oleObject15.bin"/><Relationship Id="rId48" Type="http://schemas.openxmlformats.org/officeDocument/2006/relationships/image" Target="media/image25.wmf"/><Relationship Id="rId47" Type="http://schemas.openxmlformats.org/officeDocument/2006/relationships/oleObject" Target="embeddings/oleObject14.bin"/><Relationship Id="rId46" Type="http://schemas.openxmlformats.org/officeDocument/2006/relationships/image" Target="media/image24.wmf"/><Relationship Id="rId45" Type="http://schemas.openxmlformats.org/officeDocument/2006/relationships/oleObject" Target="embeddings/oleObject13.bin"/><Relationship Id="rId44" Type="http://schemas.openxmlformats.org/officeDocument/2006/relationships/image" Target="media/image23.wmf"/><Relationship Id="rId43" Type="http://schemas.openxmlformats.org/officeDocument/2006/relationships/oleObject" Target="embeddings/oleObject12.bin"/><Relationship Id="rId42" Type="http://schemas.openxmlformats.org/officeDocument/2006/relationships/oleObject" Target="embeddings/oleObject11.bin"/><Relationship Id="rId41" Type="http://schemas.openxmlformats.org/officeDocument/2006/relationships/image" Target="media/image22.wmf"/><Relationship Id="rId40" Type="http://schemas.openxmlformats.org/officeDocument/2006/relationships/oleObject" Target="embeddings/oleObject10.bin"/><Relationship Id="rId4" Type="http://schemas.openxmlformats.org/officeDocument/2006/relationships/footer" Target="footer2.xml"/><Relationship Id="rId39" Type="http://schemas.openxmlformats.org/officeDocument/2006/relationships/image" Target="media/image21.wmf"/><Relationship Id="rId38" Type="http://schemas.openxmlformats.org/officeDocument/2006/relationships/oleObject" Target="embeddings/oleObject9.bin"/><Relationship Id="rId37" Type="http://schemas.openxmlformats.org/officeDocument/2006/relationships/image" Target="media/image20.wmf"/><Relationship Id="rId36" Type="http://schemas.openxmlformats.org/officeDocument/2006/relationships/oleObject" Target="embeddings/oleObject8.bin"/><Relationship Id="rId35" Type="http://schemas.openxmlformats.org/officeDocument/2006/relationships/image" Target="media/image19.wmf"/><Relationship Id="rId34" Type="http://schemas.openxmlformats.org/officeDocument/2006/relationships/oleObject" Target="embeddings/oleObject7.bin"/><Relationship Id="rId33" Type="http://schemas.openxmlformats.org/officeDocument/2006/relationships/image" Target="media/image18.wmf"/><Relationship Id="rId32" Type="http://schemas.openxmlformats.org/officeDocument/2006/relationships/oleObject" Target="embeddings/oleObject6.bin"/><Relationship Id="rId31" Type="http://schemas.openxmlformats.org/officeDocument/2006/relationships/image" Target="media/image17.wmf"/><Relationship Id="rId30" Type="http://schemas.openxmlformats.org/officeDocument/2006/relationships/oleObject" Target="embeddings/oleObject5.bin"/><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4.bin"/><Relationship Id="rId27" Type="http://schemas.openxmlformats.org/officeDocument/2006/relationships/image" Target="media/image15.wmf"/><Relationship Id="rId26" Type="http://schemas.openxmlformats.org/officeDocument/2006/relationships/oleObject" Target="embeddings/oleObject3.bin"/><Relationship Id="rId25" Type="http://schemas.openxmlformats.org/officeDocument/2006/relationships/image" Target="media/image14.png"/><Relationship Id="rId24" Type="http://schemas.openxmlformats.org/officeDocument/2006/relationships/image" Target="media/image13.wmf"/><Relationship Id="rId23" Type="http://schemas.openxmlformats.org/officeDocument/2006/relationships/image" Target="media/image12.wmf"/><Relationship Id="rId22" Type="http://schemas.openxmlformats.org/officeDocument/2006/relationships/image" Target="media/image11.wmf"/><Relationship Id="rId21" Type="http://schemas.openxmlformats.org/officeDocument/2006/relationships/image" Target="media/image10.wmf"/><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image" Target="media/image7.wmf"/><Relationship Id="rId17" Type="http://schemas.openxmlformats.org/officeDocument/2006/relationships/image" Target="media/image6.wmf"/><Relationship Id="rId16" Type="http://schemas.openxmlformats.org/officeDocument/2006/relationships/image" Target="media/image5.wmf"/><Relationship Id="rId15" Type="http://schemas.openxmlformats.org/officeDocument/2006/relationships/image" Target="media/image4.wmf"/><Relationship Id="rId140" Type="http://schemas.openxmlformats.org/officeDocument/2006/relationships/fontTable" Target="fontTable.xml"/><Relationship Id="rId14" Type="http://schemas.openxmlformats.org/officeDocument/2006/relationships/image" Target="media/image3.png"/><Relationship Id="rId139" Type="http://schemas.microsoft.com/office/2006/relationships/keyMapCustomizations" Target="customizations.xml"/><Relationship Id="rId138" Type="http://schemas.openxmlformats.org/officeDocument/2006/relationships/customXml" Target="../customXml/item3.xml"/><Relationship Id="rId137" Type="http://schemas.openxmlformats.org/officeDocument/2006/relationships/customXml" Target="../customXml/item2.xml"/><Relationship Id="rId136" Type="http://schemas.openxmlformats.org/officeDocument/2006/relationships/numbering" Target="numbering.xml"/><Relationship Id="rId135" Type="http://schemas.openxmlformats.org/officeDocument/2006/relationships/customXml" Target="../customXml/item1.xml"/><Relationship Id="rId134" Type="http://schemas.openxmlformats.org/officeDocument/2006/relationships/image" Target="media/image73.png"/><Relationship Id="rId133" Type="http://schemas.openxmlformats.org/officeDocument/2006/relationships/image" Target="media/image72.jpeg"/><Relationship Id="rId132" Type="http://schemas.openxmlformats.org/officeDocument/2006/relationships/image" Target="media/image71.png"/><Relationship Id="rId131" Type="http://schemas.openxmlformats.org/officeDocument/2006/relationships/image" Target="media/image70.png"/><Relationship Id="rId130" Type="http://schemas.openxmlformats.org/officeDocument/2006/relationships/image" Target="media/image69.png"/><Relationship Id="rId13" Type="http://schemas.openxmlformats.org/officeDocument/2006/relationships/image" Target="media/image2.emf"/><Relationship Id="rId129" Type="http://schemas.openxmlformats.org/officeDocument/2006/relationships/image" Target="media/image68.png"/><Relationship Id="rId128" Type="http://schemas.openxmlformats.org/officeDocument/2006/relationships/image" Target="media/image67.png"/><Relationship Id="rId127" Type="http://schemas.openxmlformats.org/officeDocument/2006/relationships/image" Target="media/image66.png"/><Relationship Id="rId126" Type="http://schemas.openxmlformats.org/officeDocument/2006/relationships/image" Target="media/image65.png"/><Relationship Id="rId125" Type="http://schemas.openxmlformats.org/officeDocument/2006/relationships/image" Target="media/image64.png"/><Relationship Id="rId124" Type="http://schemas.openxmlformats.org/officeDocument/2006/relationships/image" Target="media/image63.png"/><Relationship Id="rId123" Type="http://schemas.openxmlformats.org/officeDocument/2006/relationships/image" Target="media/image62.png"/><Relationship Id="rId122" Type="http://schemas.openxmlformats.org/officeDocument/2006/relationships/image" Target="media/image61.jpeg"/><Relationship Id="rId121" Type="http://schemas.openxmlformats.org/officeDocument/2006/relationships/image" Target="media/image60.png"/><Relationship Id="rId120" Type="http://schemas.openxmlformats.org/officeDocument/2006/relationships/image" Target="media/image59.png"/><Relationship Id="rId12" Type="http://schemas.openxmlformats.org/officeDocument/2006/relationships/oleObject" Target="embeddings/oleObject2.bin"/><Relationship Id="rId119" Type="http://schemas.openxmlformats.org/officeDocument/2006/relationships/image" Target="media/image58.png"/><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wmf"/><Relationship Id="rId115" Type="http://schemas.openxmlformats.org/officeDocument/2006/relationships/oleObject" Target="embeddings/oleObject51.bin"/><Relationship Id="rId114" Type="http://schemas.openxmlformats.org/officeDocument/2006/relationships/image" Target="media/image55.wmf"/><Relationship Id="rId113" Type="http://schemas.openxmlformats.org/officeDocument/2006/relationships/oleObject" Target="embeddings/oleObject50.bin"/><Relationship Id="rId112" Type="http://schemas.openxmlformats.org/officeDocument/2006/relationships/oleObject" Target="embeddings/oleObject49.bin"/><Relationship Id="rId111" Type="http://schemas.openxmlformats.org/officeDocument/2006/relationships/image" Target="media/image54.wmf"/><Relationship Id="rId110" Type="http://schemas.openxmlformats.org/officeDocument/2006/relationships/oleObject" Target="embeddings/oleObject48.bin"/><Relationship Id="rId11" Type="http://schemas.openxmlformats.org/officeDocument/2006/relationships/image" Target="media/image1.emf"/><Relationship Id="rId109" Type="http://schemas.openxmlformats.org/officeDocument/2006/relationships/image" Target="media/image53.wmf"/><Relationship Id="rId108" Type="http://schemas.openxmlformats.org/officeDocument/2006/relationships/oleObject" Target="embeddings/oleObject47.bin"/><Relationship Id="rId107" Type="http://schemas.openxmlformats.org/officeDocument/2006/relationships/image" Target="media/image52.wmf"/><Relationship Id="rId106" Type="http://schemas.openxmlformats.org/officeDocument/2006/relationships/oleObject" Target="embeddings/oleObject46.bin"/><Relationship Id="rId105" Type="http://schemas.openxmlformats.org/officeDocument/2006/relationships/image" Target="media/image51.wmf"/><Relationship Id="rId104" Type="http://schemas.openxmlformats.org/officeDocument/2006/relationships/oleObject" Target="embeddings/oleObject45.bin"/><Relationship Id="rId103" Type="http://schemas.openxmlformats.org/officeDocument/2006/relationships/image" Target="media/image50.wmf"/><Relationship Id="rId102" Type="http://schemas.openxmlformats.org/officeDocument/2006/relationships/oleObject" Target="embeddings/oleObject44.bin"/><Relationship Id="rId101" Type="http://schemas.openxmlformats.org/officeDocument/2006/relationships/image" Target="media/image49.wmf"/><Relationship Id="rId100" Type="http://schemas.openxmlformats.org/officeDocument/2006/relationships/oleObject" Target="embeddings/oleObject43.bin"/><Relationship Id="rId10" Type="http://schemas.openxmlformats.org/officeDocument/2006/relationships/oleObject" Target="embeddings/oleObject1.bin"/><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238bd74a-9a8d-4fa1-8691-b6f8cd9f4c7d</errorID>
      <errorWord>  </errorWord>
      <group>L1_AI</group>
      <groupName>深度校对</groupName>
      <ability>L2_AI_Punc</ability>
      <abilityName>标点纠错</abilityName>
      <candidateList>
        <item/>
      </candidateList>
      <explain>此处空格冗余，建议删除。</explain>
      <paraID>2496A66C</paraID>
      <start>1</start>
      <end>3</end>
      <status>ignored</status>
      <modifiedWord/>
      <trackRevisions>false</trackRevisions>
    </reviewItem>
    <reviewItem>
      <errorID>c71bc47c-cc9b-42d3-9e48-7ad77b437517</errorID>
      <errorWord>  </errorWord>
      <group>L1_AI</group>
      <groupName>深度校对</groupName>
      <ability>L2_AI_Punc</ability>
      <abilityName>标点纠错</abilityName>
      <candidateList>
        <item/>
      </candidateList>
      <explain>此处空格冗余，建议删除。</explain>
      <paraID>2496A66C</paraID>
      <start>6</start>
      <end>8</end>
      <status>ignored</status>
      <modifiedWord/>
      <trackRevisions>false</trackRevisions>
    </reviewItem>
    <reviewItem>
      <errorID>561d346d-d5cb-44c2-b824-bdda07595848</errorID>
      <errorWord>  </errorWord>
      <group>L1_AI</group>
      <groupName>深度校对</groupName>
      <ability>L2_AI_Punc</ability>
      <abilityName>标点纠错</abilityName>
      <candidateList>
        <item/>
      </candidateList>
      <explain>此处空格冗余，建议删除。</explain>
      <paraID>2496A66C</paraID>
      <start>9</start>
      <end>11</end>
      <status>ignored</status>
      <modifiedWord/>
      <trackRevisions>false</trackRevisions>
    </reviewItem>
    <reviewItem>
      <errorID>53c1d0d1-3408-4b2d-85f8-ab2cc00a3a88</errorID>
      <errorWord>  </errorWord>
      <group>L1_AI</group>
      <groupName>深度校对</groupName>
      <ability>L2_AI_Punc</ability>
      <abilityName>标点纠错</abilityName>
      <candidateList>
        <item/>
      </candidateList>
      <explain>此处空格冗余，建议删除。</explain>
      <paraID>2496A66C</paraID>
      <start>13</start>
      <end>15</end>
      <status>ignored</status>
      <modifiedWord/>
      <trackRevisions>false</trackRevisions>
    </reviewItem>
    <reviewItem>
      <errorID>84e38072-1fec-4b49-ac25-6c6a2484b438</errorID>
      <errorWord>  </errorWord>
      <group>L1_AI</group>
      <groupName>深度校对</groupName>
      <ability>L2_AI_Punc</ability>
      <abilityName>标点纠错</abilityName>
      <candidateList>
        <item/>
      </candidateList>
      <explain>此处空格冗余，建议删除。</explain>
      <paraID>2496A66C</paraID>
      <start>16</start>
      <end>18</end>
      <status>ignored</status>
      <modifiedWord/>
      <trackRevisions>false</trackRevisions>
    </reviewItem>
    <reviewItem>
      <errorID>de9adf7e-5048-4d7e-84ce-b9928483d5bd</errorID>
      <errorWord>  </errorWord>
      <group>L1_AI</group>
      <groupName>深度校对</groupName>
      <ability>L2_AI_Punc</ability>
      <abilityName>标点纠错</abilityName>
      <candidateList>
        <item/>
      </candidateList>
      <explain>此处空格冗余，建议删除。</explain>
      <paraID>2496A66C</paraID>
      <start>23</start>
      <end>25</end>
      <status>ignored</status>
      <modifiedWord/>
      <trackRevisions>false</trackRevisions>
    </reviewItem>
    <reviewItem>
      <errorID>b1170862-bfb1-47d8-abfe-3f1fdfd771a5</errorID>
      <errorWord>  </errorWord>
      <group>L1_AI</group>
      <groupName>深度校对</groupName>
      <ability>L2_AI_Punc</ability>
      <abilityName>标点纠错</abilityName>
      <candidateList>
        <item/>
      </candidateList>
      <explain>此处空格冗余，建议删除。</explain>
      <paraID>2496A66C</paraID>
      <start>27</start>
      <end>29</end>
      <status>ignored</status>
      <modifiedWord/>
      <trackRevisions>false</trackRevisions>
    </reviewItem>
    <reviewItem>
      <errorID>ddc157c8-a8b8-4073-bcc6-4ebef9e7e585</errorID>
      <errorWord>  </errorWord>
      <group>L1_AI</group>
      <groupName>深度校对</groupName>
      <ability>L2_AI_Punc</ability>
      <abilityName>标点纠错</abilityName>
      <candidateList>
        <item/>
      </candidateList>
      <explain>此处空格冗余，建议删除。</explain>
      <paraID>2496A66C</paraID>
      <start>31</start>
      <end>33</end>
      <status>ignored</status>
      <modifiedWord/>
      <trackRevisions>false</trackRevisions>
    </reviewItem>
    <reviewItem>
      <errorID>adc46188-f319-4cc4-8339-fbca99520d1a</errorID>
      <errorWord>  </errorWord>
      <group>L1_AI</group>
      <groupName>深度校对</groupName>
      <ability>L2_AI_Punc</ability>
      <abilityName>标点纠错</abilityName>
      <candidateList>
        <item/>
      </candidateList>
      <explain>此处空格冗余，建议删除。</explain>
      <paraID>2496A66C</paraID>
      <start>34</start>
      <end>36</end>
      <status>ignored</status>
      <modifiedWord/>
      <trackRevisions>false</trackRevisions>
    </reviewItem>
    <reviewItem>
      <errorID>292c99e6-4b06-44fd-9b1e-667929ff36f2</errorID>
      <errorWord>  </errorWord>
      <group>L1_AI</group>
      <groupName>深度校对</groupName>
      <ability>L2_AI_Punc</ability>
      <abilityName>标点纠错</abilityName>
      <candidateList>
        <item/>
      </candidateList>
      <explain>此处空格冗余，建议删除。</explain>
      <paraID>2496A66C</paraID>
      <start>38</start>
      <end>40</end>
      <status>ignored</status>
      <modifiedWord/>
      <trackRevisions>false</trackRevisions>
    </reviewItem>
    <reviewItem>
      <errorID>3d2146fb-362a-4b6f-99cc-fd10aeeac0ab</errorID>
      <errorWord> </errorWord>
      <group>L1_AI</group>
      <groupName>深度校对</groupName>
      <ability>L2_AI_Punc</ability>
      <abilityName>标点纠错</abilityName>
      <candidateList>
        <item/>
      </candidateList>
      <explain>此处空格冗余，建议删除。</explain>
      <paraID>2496A66C</paraID>
      <start>41</start>
      <end>42</end>
      <status>ignored</status>
      <modifiedWord/>
      <trackRevisions>false</trackRevisions>
    </reviewItem>
    <reviewItem>
      <errorID>42b3712f-2c37-4370-a239-27c181c4d3b7</errorID>
      <errorWord> </errorWord>
      <group>L1_AI</group>
      <groupName>深度校对</groupName>
      <ability>L2_AI_Punc</ability>
      <abilityName>标点纠错</abilityName>
      <candidateList>
        <item/>
      </candidateList>
      <explain>此处空格冗余，建议删除。</explain>
      <paraID>2496A66C</paraID>
      <start>46</start>
      <end>47</end>
      <status>ignored</status>
      <modifiedWord/>
      <trackRevisions>false</trackRevisions>
    </reviewItem>
    <reviewItem>
      <errorID>d06ac2be-6b4e-4f64-a968-8d97d4aced58</errorID>
      <errorWord> </errorWord>
      <group>L1_AI</group>
      <groupName>深度校对</groupName>
      <ability>L2_AI_Punc</ability>
      <abilityName>标点纠错</abilityName>
      <candidateList>
        <item/>
      </candidateList>
      <explain>此处空格冗余，建议删除。</explain>
      <paraID> FC2E692</paraID>
      <start>16</start>
      <end>17</end>
      <status>ignored</status>
      <modifiedWord/>
      <trackRevisions>false</trackRevisions>
    </reviewItem>
    <reviewItem>
      <errorID>3cebf4a5-1f9c-49bb-bee5-5adf7029f569</errorID>
      <errorWord>。</errorWord>
      <group>L1_AI</group>
      <groupName>深度校对</groupName>
      <ability>L2_AI_Punc</ability>
      <abilityName>标点纠错</abilityName>
      <candidateList>
        <item/>
      </candidateList>
      <explain/>
      <paraID>1B7F5CC4</paraID>
      <start>11</start>
      <end>11</end>
      <status>modified</status>
      <modifiedWord/>
      <trackRevisions>false</trackRevisions>
    </reviewItem>
    <reviewItem>
      <errorID>09d7ad3c-c1d2-4dbb-97a3-48b1b0c74cd7</errorID>
      <errorWord>国家海洋局</errorWord>
      <group>L1_Word</group>
      <groupName>字词问题</groupName>
      <ability>L2_Typo</ability>
      <abilityName>字词错误</abilityName>
      <candidateList>
        <item>自然资源部</item>
      </candidateList>
      <explain/>
      <paraID>267FFD42</paraID>
      <start>38</start>
      <end>43</end>
      <status>ignored</status>
      <modifiedWord/>
      <trackRevisions>false</trackRevisions>
    </reviewItem>
    <reviewItem>
      <errorID>cc1e39b0-4330-4a35-b502-f20fc7ab6711</errorID>
      <errorWord>在</errorWord>
      <group>L1_AI</group>
      <groupName>深度校对</groupName>
      <ability>L2_AI_Word</ability>
      <abilityName>字词纠错</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❷后缀。a）〈动〉词后缀：合～｜属～｜在～｜至～。b）形容词后缀：勇～负责｜善～调度｜易～了解｜难～实行。</explain>
      <paraID>31D3A22C</paraID>
      <start>9</start>
      <end>10</end>
      <status>ignored</status>
      <modifiedWord/>
      <trackRevisions>false</trackRevisions>
    </reviewItem>
    <reviewItem>
      <errorID>f4f661d3-30a4-4484-8e57-8d06999a179d</errorID>
      <errorWord>在</errorWord>
      <group>L1_AI</group>
      <groupName>深度校对</groupName>
      <ability>L2_AI_Punc</ability>
      <abilityName>标点纠错</abilityName>
      <candidateList>
        <item>，在</item>
      </candidateList>
      <explain/>
      <paraID>31D3A22C</paraID>
      <start>64</start>
      <end>65</end>
      <status>ignored</status>
      <modifiedWord/>
      <trackRevisions>false</trackRevisions>
    </reviewItem>
    <reviewItem>
      <errorID>896096c9-26ba-4e9d-8e14-e2da8a80a032</errorID>
      <errorWord>为</errorWord>
      <group>L1_AI</group>
      <groupName>深度校对</groupName>
      <ability>L2_AI_Word</ability>
      <abilityName>字词纠错</abilityName>
      <candidateList>
        <item>是</item>
      </candidateList>
      <explain>〈动〉❶联系两种事物，表明两者同一或后者说明前者的种类、属性：《阿Q正传》的作者～鲁迅｜节约～不浪费的意思。❷与“的”字配合使用，有分类的作用：这张桌子～石头的｜那瓶墨水～红的｜我～来看他的。❸联系两种事物，表示陈述的对象属于“是”后面所说的情况：他～一片好心｜咱们～好汉一言，快马一鞭｜院子里～冬天，屋子里～春天。❹表示存在，主语通常是表处所的语词，“是”后面表示存在的事物：村子前面～一片水田｜他跑得满身～汗。❺“是”前后用相同的名词或动词，连用两个这样的格式，表示所说的几桩事物互不相干，不能混淆：去年～去年，今年～今年，你当年年一个样哪！｜说～说，做～做，有意见也不能耽误干活儿。❻在上半句里“是”前后用相同的名词、形容词或动词，表示让步，含有“虽然”的意思：诗～好诗，就是长了点｜东西旧～旧，可是还能用｜我去～去，可是不在那儿吃饭。❼用在句首，加重语气：～谁告诉你的？｜～国防战士，日日夜夜保卫着祖国，咱们才能过幸福的日子。❽用在名词前面，含有“凡是”的意思：～有利于群众的事情他都肯干。❾用在名词前面，含有“适合”的意思：他想的很～路｜这场雨下的～时候｜东西放的都挺～地方。❿用在选择问句、是非问句或反问句里：你～吃米饭～吃面？｜他不～走了吗？｜你～累了不～？○11（必须重读）表示坚决肯定，含有“的确、实在”的意思：我打听清楚了，他那天～没去｜这本书～好，你可以看看。</explain>
      <paraID>2AD218E0</paraID>
      <start>132</start>
      <end>133</end>
      <status>ignored</status>
      <modifiedWord/>
      <trackRevisions>false</trackRevisions>
    </reviewItem>
    <reviewItem>
      <errorID>922e2c4a-9918-4c7b-ae1d-e30ff92de6d1</errorID>
      <errorWord>《产业结构调整指导目录》（2024年本）</errorWord>
      <group>L1_Knowledge</group>
      <groupName>知识性问题</groupName>
      <ability>L2_Knowledge</ability>
      <abilityName>其他知识</abilityName>
      <candidateList>
        <item>《产业结构调整指导目录（2024年本）》</item>
      </candidateList>
      <explain>疑似政策文件、法律法规名称等书写不规范，请注意检查。</explain>
      <paraID>25C86A8A</paraID>
      <start>23</start>
      <end>43</end>
      <status>modified</status>
      <modifiedWord>《产业结构调整指导目录（2024年本）》</modifiedWord>
      <trackRevisions>false</trackRevisions>
    </reviewItem>
    <reviewItem>
      <errorID>9efbfa88-ff7c-4fd0-bdac-d7044a8e9bbd</errorID>
      <errorWord>内现</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43253F24</paraID>
      <start>106</start>
      <end>108</end>
      <status>ignored</status>
      <modifiedWord/>
      <trackRevisions>false</trackRevisions>
    </reviewItem>
    <reviewItem>
      <errorID>8eaea9be-0476-40e0-920e-dfefbccab7fd</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 DA03326</paraID>
      <start>402</start>
      <end>409</end>
      <status>ignored</status>
      <modifiedWord/>
      <trackRevisions>false</trackRevisions>
    </reviewItem>
    <reviewItem>
      <errorID>11a0d850-6a44-444a-aa55-65a284d65e17</errorID>
      <errorWord>180—200万</errorWord>
      <group>L1_Knowledge</group>
      <groupName>知识性问题</groupName>
      <ability>L2_Knowledge</ability>
      <abilityName>其他知识</abilityName>
      <candidateList>
        <item>180万—200万</item>
      </candidateList>
      <explain>“180—200万”中的单位“万”仅出现在后一个数字上，容易引起歧义；根据《现代汉语标点符号数字用法规范手册》，数字表示范围两边需要使用统一的格式。</explain>
      <paraID>630E20E9</paraID>
      <start>461</start>
      <end>470</end>
      <status>modified</status>
      <modifiedWord>180万—200万</modifiedWord>
      <trackRevisions>false</trackRevisions>
    </reviewItem>
    <reviewItem>
      <errorID>c91e3996-f78c-4794-9ea0-a5c86539f3b2</errorID>
      <errorWord>第11条</errorWord>
      <group>L1_Knowledge</group>
      <groupName>知识性问题</groupName>
      <ability>L2_Knowledge</ability>
      <abilityName>其他知识</abilityName>
      <candidateList>
        <item>第十一条</item>
      </candidateList>
      <explain/>
      <paraID>7805138E</paraID>
      <start>240</start>
      <end>244</end>
      <status>modified</status>
      <modifiedWord>第十一条</modifiedWord>
      <trackRevisions>false</trackRevisions>
    </reviewItem>
    <reviewItem>
      <errorID>7ddd5af2-032c-47e7-b049-2d2906df11cc</errorID>
      <errorWord>才</errorWord>
      <group>L1_Word</group>
      <groupName>字词问题</groupName>
      <ability>L2_Typo</ability>
      <abilityName>字词错误</abilityName>
      <candidateList>
        <item>才能</item>
      </candidateList>
      <explain/>
      <paraID> A478C3B</paraID>
      <start>72</start>
      <end>74</end>
      <status>modified</status>
      <modifiedWord>才能</modifiedWord>
      <trackRevisions>false</trackRevisions>
    </reviewItem>
    <reviewItem>
      <errorID>bb4e77e2-b545-4b53-9b03-32a8f8a14e37</errorID>
      <errorWord>。</errorWord>
      <group>L1_Format</group>
      <groupName>格式问题</groupName>
      <ability>L2_HalfPunc</ability>
      <abilityName>全半角检查</abilityName>
      <candidateList>
        <item>.</item>
      </candidateList>
      <explain>文本全半角错误。</explain>
      <paraID>3FFE6D60</paraID>
      <start>74</start>
      <end>75</end>
      <status>ignored</status>
      <modifiedWord/>
      <trackRevisions>false</trackRevisions>
    </reviewItem>
    <reviewItem>
      <errorID>b2ac89f6-c39d-47b5-a45b-bd969c40058d</errorID>
      <errorWord>为由</errorWord>
      <group>L1_Word</group>
      <groupName>字词问题</groupName>
      <ability>L2_Typo</ability>
      <abilityName>字词错误</abilityName>
      <candidateList>
        <item>为</item>
      </candidateList>
      <explain>（爲、為）wèi❶〈书〉帮助；卫护：～吕氏者右袒，～刘氏者左袒。❷〈介〉表示行为的对象；替：～你庆幸｜～人民服务｜～这本书写一篇序。❸〈介〉表示原因、目的：大家都～这件事高兴｜～建设伟大祖国而奋斗。❹〈书〉〈介〉对；向：不足～外人道。</explain>
      <paraID> B28A2C0</paraID>
      <start>112</start>
      <end>114</end>
      <status>ignored</status>
      <modifiedWord/>
      <trackRevisions>false</trackRevisions>
    </reviewItem>
    <reviewItem>
      <errorID>000972aa-849c-4de5-abb3-a88a2191b4df</errorID>
      <errorWord>在在</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❼〈介〉表示时间、处所、范围、条件等：事情发生～去年｜～礼堂开会｜这件事～方式上还可以研究｜～他的帮助下，我取得了较好的成绩。❽〈副〉正在：风～刮，雨～下｜姐姐～做功课。</explain>
      <paraID> B28A2C0</paraID>
      <start>350</start>
      <end>351</end>
      <status>modified</status>
      <modifiedWord>在</modifiedWord>
      <trackRevisions>false</trackRevisions>
    </reviewItem>
    <reviewItem>
      <errorID>74b66efc-3760-4df9-85f1-f42568311799</errorID>
      <errorWord>个</errorWord>
      <group>L1_Knowledge</group>
      <groupName>知识性问题</groupName>
      <ability>L2_Knowledge</ability>
      <abilityName>其他知识</abilityName>
      <candidateList>
        <item>轴</item>
      </candidateList>
      <explain/>
      <paraID>2B0E70CB</paraID>
      <start>225</start>
      <end>226</end>
      <status>ignored</status>
      <modifiedWord/>
      <trackRevisions>false</trackRevisions>
    </reviewItem>
    <reviewItem>
      <errorID>575baa74-64bd-4f84-af25-e812d4180367</errorID>
      <errorWord>两条</errorWord>
      <group>L1_Word</group>
      <groupName>字词问题</groupName>
      <ability>L2_Typo</ability>
      <abilityName>字词错误</abilityName>
      <candidateList>
        <item>两台</item>
      </candidateList>
      <explain/>
      <paraID>2B0E70CB</paraID>
      <start>238</start>
      <end>240</end>
      <status>ignored</status>
      <modifiedWord/>
      <trackRevisions>false</trackRevisions>
    </reviewItem>
    <reviewItem>
      <errorID>d0a51e29-a57f-4687-a37c-a9acfc406999</errorID>
      <errorWord>程</errorWord>
      <group>L1_Word</group>
      <groupName>字词问题</groupName>
      <ability>L2_Typo</ability>
      <abilityName>字词错误</abilityName>
      <candidateList>
        <item>程中</item>
      </candidateList>
      <explain/>
      <paraID>2298A83D</paraID>
      <start>30</start>
      <end>32</end>
      <status>modified</status>
      <modifiedWord>程中</modifiedWord>
      <trackRevisions>false</trackRevisions>
    </reviewItem>
    <reviewItem>
      <errorID>8b7f4f99-f564-4a00-ace0-bb86e8716271</errorID>
      <errorWord>.</errorWord>
      <group>L1_Format</group>
      <groupName>格式问题</groupName>
      <ability>L2_HalfPunc</ability>
      <abilityName>全半角检查</abilityName>
      <candidateList>
        <item>。</item>
      </candidateList>
      <explain>文本全半角错误。</explain>
      <paraID>6DE482AE</paraID>
      <start>35</start>
      <end>36</end>
      <status>ignored</status>
      <modifiedWord/>
      <trackRevisions>false</trackRevisions>
    </reviewItem>
    <reviewItem>
      <errorID>3f4eb08c-777a-49ce-9ce9-aa4505609d88</errorID>
      <errorWord>（</errorWord>
      <group>L1_Format</group>
      <groupName>格式问题</groupName>
      <ability>L2_HalfPunc</ability>
      <abilityName>全半角检查</abilityName>
      <candidateList>
        <item>(</item>
      </candidateList>
      <explain>文本全半角错误。</explain>
      <paraID>1B54329B</paraID>
      <start>2</start>
      <end>3</end>
      <status>ignored</status>
      <modifiedWord/>
      <trackRevisions>false</trackRevisions>
    </reviewItem>
    <reviewItem>
      <errorID>cf0a1406-73f3-42e2-9470-4aa359ed0d55</errorID>
      <errorWord>）</errorWord>
      <group>L1_Format</group>
      <groupName>格式问题</groupName>
      <ability>L2_HalfPunc</ability>
      <abilityName>全半角检查</abilityName>
      <candidateList>
        <item>)</item>
      </candidateList>
      <explain>文本全半角错误。</explain>
      <paraID>1B54329B</paraID>
      <start>4</start>
      <end>5</end>
      <status>ignored</status>
      <modifiedWord/>
      <trackRevisions>false</trackRevisions>
    </reviewItem>
    <reviewItem>
      <errorID>9a103b47-4107-4bb9-ac78-251133618875</errorID>
      <errorWord>（</errorWord>
      <group>L1_Format</group>
      <groupName>格式问题</groupName>
      <ability>L2_HalfPunc</ability>
      <abilityName>全半角检查</abilityName>
      <candidateList>
        <item>(</item>
      </candidateList>
      <explain>文本全半角错误。</explain>
      <paraID>4EA008A1</paraID>
      <start>2</start>
      <end>3</end>
      <status>ignored</status>
      <modifiedWord/>
      <trackRevisions>false</trackRevisions>
    </reviewItem>
    <reviewItem>
      <errorID>f44429b8-9fcb-49f2-a6d6-f98bf9a887e9</errorID>
      <errorWord>）</errorWord>
      <group>L1_Format</group>
      <groupName>格式问题</groupName>
      <ability>L2_HalfPunc</ability>
      <abilityName>全半角检查</abilityName>
      <candidateList>
        <item>)</item>
      </candidateList>
      <explain>文本全半角错误。</explain>
      <paraID>4EA008A1</paraID>
      <start>4</start>
      <end>5</end>
      <status>ignored</status>
      <modifiedWord/>
      <trackRevisions>false</trackRevisions>
    </reviewItem>
    <reviewItem>
      <errorID>916a12c8-3cd2-4494-8d23-663c34192da5</errorID>
      <errorWord>（</errorWord>
      <group>L1_Format</group>
      <groupName>格式问题</groupName>
      <ability>L2_HalfPunc</ability>
      <abilityName>全半角检查</abilityName>
      <candidateList>
        <item>(</item>
      </candidateList>
      <explain>文本全半角错误。</explain>
      <paraID>1A09609E</paraID>
      <start>2</start>
      <end>3</end>
      <status>ignored</status>
      <modifiedWord/>
      <trackRevisions>false</trackRevisions>
    </reviewItem>
    <reviewItem>
      <errorID>aef484b9-01bd-423f-8b44-eee58c08db24</errorID>
      <errorWord>）</errorWord>
      <group>L1_Format</group>
      <groupName>格式问题</groupName>
      <ability>L2_HalfPunc</ability>
      <abilityName>全半角检查</abilityName>
      <candidateList>
        <item>)</item>
      </candidateList>
      <explain>文本全半角错误。</explain>
      <paraID>1A09609E</paraID>
      <start>4</start>
      <end>5</end>
      <status>ignored</status>
      <modifiedWord/>
      <trackRevisions>false</trackRevisions>
    </reviewItem>
    <reviewItem>
      <errorID>b4eadfd1-89e3-4f91-af03-dbb30a12d288</errorID>
      <errorWord>（</errorWord>
      <group>L1_Format</group>
      <groupName>格式问题</groupName>
      <ability>L2_HalfPunc</ability>
      <abilityName>全半角检查</abilityName>
      <candidateList>
        <item>(</item>
      </candidateList>
      <explain>文本全半角错误。</explain>
      <paraID>48F6CF00</paraID>
      <start>3</start>
      <end>4</end>
      <status>ignored</status>
      <modifiedWord/>
      <trackRevisions>false</trackRevisions>
    </reviewItem>
    <reviewItem>
      <errorID>374ab713-f9f8-4cf5-96f5-50d8e591d026</errorID>
      <errorWord>）</errorWord>
      <group>L1_Format</group>
      <groupName>格式问题</groupName>
      <ability>L2_HalfPunc</ability>
      <abilityName>全半角检查</abilityName>
      <candidateList>
        <item>)</item>
      </candidateList>
      <explain>文本全半角错误。</explain>
      <paraID>48F6CF00</paraID>
      <start>5</start>
      <end>6</end>
      <status>ignored</status>
      <modifiedWord/>
      <trackRevisions>false</trackRevisions>
    </reviewItem>
    <reviewItem>
      <errorID>41b58849-ba75-4157-b104-2417e44b5d89</errorID>
      <errorWord>（</errorWord>
      <group>L1_Format</group>
      <groupName>格式问题</groupName>
      <ability>L2_HalfPunc</ability>
      <abilityName>全半角检查</abilityName>
      <candidateList>
        <item>(</item>
      </candidateList>
      <explain>文本全半角错误。</explain>
      <paraID>36809A3E</paraID>
      <start>3</start>
      <end>4</end>
      <status>ignored</status>
      <modifiedWord/>
      <trackRevisions>false</trackRevisions>
    </reviewItem>
    <reviewItem>
      <errorID>b7159134-edca-4b90-8a3b-09c1e0f2a8f2</errorID>
      <errorWord>）</errorWord>
      <group>L1_Format</group>
      <groupName>格式问题</groupName>
      <ability>L2_HalfPunc</ability>
      <abilityName>全半角检查</abilityName>
      <candidateList>
        <item>)</item>
      </candidateList>
      <explain>文本全半角错误。</explain>
      <paraID>36809A3E</paraID>
      <start>5</start>
      <end>6</end>
      <status>ignored</status>
      <modifiedWord/>
      <trackRevisions>false</trackRevisions>
    </reviewItem>
    <reviewItem>
      <errorID>01de7d23-648f-4a90-94e0-56d5265eb184</errorID>
      <errorWord>有害元素</errorWord>
      <group>L1_Knowledge</group>
      <groupName>知识性问题</groupName>
      <ability>L2_Term</ability>
      <abilityName>专业术语</abilityName>
      <candidateList>
        <item>有益元素</item>
      </candidateList>
      <explain/>
      <paraID>30220939</paraID>
      <start>38</start>
      <end>42</end>
      <status>ignored</status>
      <modifiedWord/>
      <trackRevisions>false</trackRevisions>
    </reviewItem>
    <reviewItem>
      <errorID>e8c8d4dd-4fff-42ce-a0f3-7e063368281f</errorID>
      <errorWord>办</errorWord>
      <group>L1_Word</group>
      <groupName>字词问题</groupName>
      <ability>L2_Typo</ability>
      <abilityName>字词错误</abilityName>
      <candidateList>
        <item>办理</item>
      </candidateList>
      <explain/>
      <paraID>3C305354</paraID>
      <start>41</start>
      <end>42</end>
      <status>ignored</status>
      <modifiedWord/>
      <trackRevisions>false</trackRevisions>
    </reviewItem>
    <reviewItem>
      <errorID>c06f3c9f-c0b4-4a9e-b085-6b9c169bad34</errorID>
      <errorWord>（</errorWord>
      <group>L1_Format</group>
      <groupName>格式问题</groupName>
      <ability>L2_HalfPunc</ability>
      <abilityName>全半角检查</abilityName>
      <candidateList>
        <item>(</item>
      </candidateList>
      <explain>文本全半角错误。</explain>
      <paraID> 7E6667D</paraID>
      <start>8</start>
      <end>9</end>
      <status>ignored</status>
      <modifiedWord/>
      <trackRevisions>false</trackRevisions>
    </reviewItem>
    <reviewItem>
      <errorID>960ae5e2-6c29-4ca7-a23b-f4316da852ce</errorID>
      <errorWord>）</errorWord>
      <group>L1_Format</group>
      <groupName>格式问题</groupName>
      <ability>L2_HalfPunc</ability>
      <abilityName>全半角检查</abilityName>
      <candidateList>
        <item>)</item>
      </candidateList>
      <explain>文本全半角错误。</explain>
      <paraID> 7E6667D</paraID>
      <start>14</start>
      <end>15</end>
      <status>ignored</status>
      <modifiedWord/>
      <trackRevisions>false</trackRevisions>
    </reviewItem>
    <reviewItem>
      <errorID>cebcbdd6-1670-48a1-8dbe-828181163fba</errorID>
      <errorWord>&lt;</errorWord>
      <group>L1_Format</group>
      <groupName>格式问题</groupName>
      <ability>L2_HalfPunc</ability>
      <abilityName>全半角检查</abilityName>
      <candidateList>
        <item>〈</item>
      </candidateList>
      <explain>文本全半角错误。</explain>
      <paraID>45005DC2</paraID>
      <start>97</start>
      <end>98</end>
      <status>ignored</status>
      <modifiedWord/>
      <trackRevisions>false</trackRevisions>
    </reviewItem>
    <reviewItem>
      <errorID>22017186-8368-49a4-abfe-38492c4ea767</errorID>
      <errorWord>沙石</errorWord>
      <group>L1_Word</group>
      <groupName>字词问题</groupName>
      <ability>L2_Typo</ability>
      <abilityName>字词错误</abilityName>
      <candidateList>
        <item>砂石</item>
      </candidateList>
      <explain>存在发音相同字词的误用。</explain>
      <paraID>10690B74</paraID>
      <start>7</start>
      <end>9</end>
      <status>modified</status>
      <modifiedWord>砂石</modifiedWord>
      <trackRevisions>false</trackRevisions>
    </reviewItem>
    <reviewItem>
      <errorID>672c7d7c-0f92-41a2-9346-9ce04909e50f</errorID>
      <errorWord>III</errorWord>
      <group>L1_Knowledge</group>
      <groupName>知识性问题</groupName>
      <ability>L2_Knowledge</ability>
      <abilityName>其他知识</abilityName>
      <candidateList>
        <item>Ⅲ</item>
      </candidateList>
      <explain/>
      <paraID>3FE1087D</paraID>
      <start>190</start>
      <end>191</end>
      <status>modified</status>
      <modifiedWord>Ⅲ</modifiedWord>
      <trackRevisions>false</trackRevisions>
    </reviewItem>
    <reviewItem>
      <errorID>eebf3371-ef87-42e9-8aff-5c4b15f48e6b</errorID>
      <errorWord>IV</errorWord>
      <group>L1_Knowledge</group>
      <groupName>知识性问题</groupName>
      <ability>L2_Knowledge</ability>
      <abilityName>其他知识</abilityName>
      <candidateList>
        <item>Ⅳ</item>
      </candidateList>
      <explain/>
      <paraID>3FE1087D</paraID>
      <start>192</start>
      <end>193</end>
      <status>modified</status>
      <modifiedWord>Ⅳ</modifiedWord>
      <trackRevisions>false</trackRevisions>
    </reviewItem>
    <reviewItem>
      <errorID>c21125a6-61b1-44ca-b670-2f9eac6809dc</errorID>
      <errorWord>包括有</errorWord>
      <group>L1_Word</group>
      <groupName>字词问题</groupName>
      <ability>L2_Typo</ability>
      <abilityName>字词错误</abilityName>
      <candidateList>
        <item>包括</item>
      </candidateList>
      <explain/>
      <paraID>475ED5D9</paraID>
      <start>43</start>
      <end>45</end>
      <status>modified</status>
      <modifiedWord>包括</modifiedWord>
      <trackRevisions>false</trackRevisions>
    </reviewItem>
    <reviewItem>
      <errorID>451c1114-0b55-4212-a1e4-35c5e16868a5</errorID>
      <errorWord>声源</errorWord>
      <group>L1_Word</group>
      <groupName>字词问题</groupName>
      <ability>L2_Typo</ability>
      <abilityName>字词错误</abilityName>
      <candidateList>
        <item>声援</item>
      </candidateList>
      <explain/>
      <paraID>561B6F0B</paraID>
      <start>5</start>
      <end>7</end>
      <status>ignored</status>
      <modifiedWord/>
      <trackRevisions>false</trackRevisions>
    </reviewItem>
    <reviewItem>
      <errorID>2ba1a5e0-0da3-4795-9b54-9e9089a7a392</errorID>
      <errorWord>声源</errorWord>
      <group>L1_Word</group>
      <groupName>字词问题</groupName>
      <ability>L2_Typo</ability>
      <abilityName>字词错误</abilityName>
      <candidateList>
        <item>声援</item>
      </candidateList>
      <explain/>
      <paraID>5C3EDEE3</paraID>
      <start>5</start>
      <end>7</end>
      <status>ignored</status>
      <modifiedWord/>
      <trackRevisions>false</trackRevisions>
    </reviewItem>
    <reviewItem>
      <errorID>eeb3f40c-10ed-490a-8e1b-fe4a2b7afe13</errorID>
      <errorWord>声源</errorWord>
      <group>L1_Word</group>
      <groupName>字词问题</groupName>
      <ability>L2_Typo</ability>
      <abilityName>字词错误</abilityName>
      <candidateList>
        <item>声援</item>
      </candidateList>
      <explain/>
      <paraID>45EDEE3A</paraID>
      <start>5</start>
      <end>7</end>
      <status>ignored</status>
      <modifiedWord/>
      <trackRevisions>false</trackRevisions>
    </reviewItem>
    <reviewItem>
      <errorID>f3f6f85b-bd58-4dee-920a-1b8be7cef4a4</errorID>
      <errorWord>声源</errorWord>
      <group>L1_Word</group>
      <groupName>字词问题</groupName>
      <ability>L2_Typo</ability>
      <abilityName>字词错误</abilityName>
      <candidateList>
        <item>声援</item>
      </candidateList>
      <explain/>
      <paraID> B567E08</paraID>
      <start>5</start>
      <end>7</end>
      <status>ignored</status>
      <modifiedWord/>
      <trackRevisions>false</trackRevisions>
    </reviewItem>
    <reviewItem>
      <errorID>509f3f68-73fe-46c5-98de-8ac6464bbf5e</errorID>
      <errorWord>形</errorWord>
      <group>L1_Word</group>
      <groupName>字词问题</groupName>
      <ability>L2_Typo</ability>
      <abilityName>字词错误</abilityName>
      <candidateList>
        <item>型</item>
      </candidateList>
      <explain>存在发音相同字词的误用。</explain>
      <paraID>5E67E85B</paraID>
      <start>2</start>
      <end>3</end>
      <status>ignored</status>
      <modifiedWord/>
      <trackRevisions>false</trackRevisions>
    </reviewItem>
    <reviewItem>
      <errorID>b3770152-5dd3-406f-bbde-cd8ab3d4d85b</errorID>
      <errorWord>分</errorWord>
      <group>L1_Word</group>
      <groupName>字词问题</groupName>
      <ability>L2_Typo</ability>
      <abilityName>字词错误</abilityName>
      <candidateList>
        <item>粉</item>
      </candidateList>
      <explain>存在发音相同字词的误用。</explain>
      <paraID>5EFF68F6</paraID>
      <start>14</start>
      <end>15</end>
      <status>modified</status>
      <modifiedWord>粉</modifiedWord>
      <trackRevisions>false</trackRevisions>
    </reviewItem>
    <reviewItem>
      <errorID>c9cdf9d7-52fc-4797-a0c5-c8ba4de1df75</errorID>
      <errorWord>（</errorWord>
      <group>L1_Format</group>
      <groupName>格式问题</groupName>
      <ability>L2_HalfPunc</ability>
      <abilityName>全半角检查</abilityName>
      <candidateList>
        <item>(</item>
      </candidateList>
      <explain>文本全半角错误。</explain>
      <paraID>21359756</paraID>
      <start>3</start>
      <end>4</end>
      <status>ignored</status>
      <modifiedWord/>
      <trackRevisions>false</trackRevisions>
    </reviewItem>
    <reviewItem>
      <errorID>04d15046-5e71-49bf-98f2-434af4f673a5</errorID>
      <errorWord>）</errorWord>
      <group>L1_Format</group>
      <groupName>格式问题</groupName>
      <ability>L2_HalfPunc</ability>
      <abilityName>全半角检查</abilityName>
      <candidateList>
        <item>)</item>
      </candidateList>
      <explain>文本全半角错误。</explain>
      <paraID>21359756</paraID>
      <start>13</start>
      <end>14</end>
      <status>ignored</status>
      <modifiedWord/>
      <trackRevisions>false</trackRevisions>
    </reviewItem>
    <reviewItem>
      <errorID>a8df0725-105a-4cb8-93e1-04d10267ad57</errorID>
      <errorWord>个</errorWord>
      <group>L1_Knowledge</group>
      <groupName>知识性问题</groupName>
      <ability>L2_Knowledge</ability>
      <abilityName>其他知识</abilityName>
      <candidateList>
        <item>轴</item>
      </candidateList>
      <explain/>
      <paraID>579C4983</paraID>
      <start>46</start>
      <end>47</end>
      <status>ignored</status>
      <modifiedWord/>
      <trackRevisions>false</trackRevisions>
    </reviewItem>
    <reviewItem>
      <errorID>8fcc100a-d22b-4475-82b9-e03502e66a07</errorID>
      <errorWord>两条</errorWord>
      <group>L1_Word</group>
      <groupName>字词问题</groupName>
      <ability>L2_Typo</ability>
      <abilityName>字词错误</abilityName>
      <candidateList>
        <item>两台</item>
      </candidateList>
      <explain/>
      <paraID>579C4983</paraID>
      <start>59</start>
      <end>61</end>
      <status>ignored</status>
      <modifiedWord/>
      <trackRevisions>false</trackRevisions>
    </reviewItem>
    <reviewItem>
      <errorID>896262e6-21f5-45df-b524-c104c579e5df</errorID>
      <errorWord>程</errorWord>
      <group>L1_Word</group>
      <groupName>字词问题</groupName>
      <ability>L2_Typo</ability>
      <abilityName>字词错误</abilityName>
      <candidateList>
        <item>程中</item>
      </candidateList>
      <explain/>
      <paraID>1563F6D2</paraID>
      <start>8</start>
      <end>9</end>
      <status>ignored</status>
      <modifiedWord/>
      <trackRevisions>false</trackRevisions>
    </reviewItem>
    <reviewItem>
      <errorID>6a2465e2-bdfc-44c2-bf6a-1824711b4e95</errorID>
      <errorWord>程</errorWord>
      <group>L1_Word</group>
      <groupName>字词问题</groupName>
      <ability>L2_Typo</ability>
      <abilityName>字词错误</abilityName>
      <candidateList>
        <item>程中</item>
      </candidateList>
      <explain/>
      <paraID>2A3589E4</paraID>
      <start>94</start>
      <end>95</end>
      <status>ignored</status>
      <modifiedWord/>
      <trackRevisions>false</trackRevisions>
    </reviewItem>
    <reviewItem>
      <errorID>7bc1b7ff-5280-4600-b53b-494f498309c5</errorID>
      <errorWord>樑</errorWord>
      <group>L1_Word</group>
      <groupName>字词问题</groupName>
      <ability>L2_Fanti</ability>
      <abilityName>繁转简</abilityName>
      <candidateList>
        <item>梁</item>
      </candidateList>
      <explain/>
      <paraID>61832167</paraID>
      <start>159</start>
      <end>160</end>
      <status>ignored</status>
      <modifiedWord/>
      <trackRevisions>false</trackRevisions>
    </reviewItem>
    <reviewItem>
      <errorID>df9b57ba-afae-4d15-b33d-5ca6a891920a</errorID>
      <errorWord>樑</errorWord>
      <group>L1_Word</group>
      <groupName>字词问题</groupName>
      <ability>L2_Fanti</ability>
      <abilityName>繁转简</abilityName>
      <candidateList>
        <item>梁</item>
      </candidateList>
      <explain/>
      <paraID>61832167</paraID>
      <start>187</start>
      <end>188</end>
      <status>ignored</status>
      <modifiedWord/>
      <trackRevisions>false</trackRevisions>
    </reviewItem>
    <reviewItem>
      <errorID>647d82e8-f53c-4c9b-b199-ea2ddae693d0</errorID>
      <errorWord>（2020）1号</errorWord>
      <group>L1_Knowledge</group>
      <groupName>知识性问题</groupName>
      <ability>L2_Knowledge</ability>
      <abilityName>其他知识</abilityName>
      <candidateList>
        <item>〔2020〕1号</item>
      </candidateList>
      <explain>发文字号格式错误</explain>
      <paraID>43E55E58</paraID>
      <start>81</start>
      <end>89</end>
      <status>modified</status>
      <modifiedWord>〔2020〕1号</modifiedWord>
      <trackRevisions>false</trackRevisions>
    </reviewItem>
    <reviewItem>
      <errorID>addf4ce2-f489-4bbf-abee-9c90e1e4b0bf</errorID>
      <errorWord>污水厂</errorWord>
      <group>L1_Word</group>
      <groupName>字词问题</groupName>
      <ability>L2_Typo</ability>
      <abilityName>字词错误</abilityName>
      <candidateList>
        <item>污水处理厂</item>
      </candidateList>
      <explain/>
      <paraID>3B4E21C7</paraID>
      <start>83</start>
      <end>88</end>
      <status>modified</status>
      <modifiedWord>污水处理厂</modifiedWord>
      <trackRevisions>false</trackRevisions>
    </reviewItem>
    <reviewItem>
      <errorID>eae81d20-edfa-496b-ba3e-f6b698a52e59</errorID>
      <errorWord>（</errorWord>
      <group>L1_Format</group>
      <groupName>格式问题</groupName>
      <ability>L2_HalfPunc</ability>
      <abilityName>全半角检查</abilityName>
      <candidateList>
        <item>(</item>
      </candidateList>
      <explain>文本全半角错误。</explain>
      <paraID>538363E8</paraID>
      <start>2</start>
      <end>3</end>
      <status>ignored</status>
      <modifiedWord/>
      <trackRevisions>false</trackRevisions>
    </reviewItem>
    <reviewItem>
      <errorID>382a9528-1344-4ed0-bfed-77952eee5025</errorID>
      <errorWord>）</errorWord>
      <group>L1_Format</group>
      <groupName>格式问题</groupName>
      <ability>L2_HalfPunc</ability>
      <abilityName>全半角检查</abilityName>
      <candidateList>
        <item>)</item>
      </candidateList>
      <explain>文本全半角错误。</explain>
      <paraID>538363E8</paraID>
      <start>4</start>
      <end>5</end>
      <status>ignored</status>
      <modifiedWord/>
      <trackRevisions>false</trackRevisions>
    </reviewItem>
    <reviewItem>
      <errorID>76cda331-15ad-46ad-a933-4489ae52a35f</errorID>
      <errorWord>达</errorWord>
      <group>L1_Word</group>
      <groupName>字词问题</groupName>
      <ability>L2_Typo</ability>
      <abilityName>字词错误</abilityName>
      <candidateList>
        <item>达到</item>
      </candidateList>
      <explain>〈动〉到（多指抽象事物或程度）：达得到｜达不到｜目的没有～｜～国际水平。</explain>
      <paraID>62ED4403</paraID>
      <start>107</start>
      <end>109</end>
      <status>modified</status>
      <modifiedWord>达到</modifiedWord>
      <trackRevisions>false</trackRevisions>
    </reviewItem>
    <reviewItem>
      <errorID>8934fa48-fc27-4eac-9bab-cec8312e9e69</errorID>
      <errorWord>（</errorWord>
      <group>L1_Punc</group>
      <groupName>标点问题</groupName>
      <ability>L2_Punc</ability>
      <abilityName>标点符号检查</abilityName>
      <candidateList>
        <item/>
      </candidateList>
      <explain>同一形式括号套用。</explain>
      <paraID>311D7A1C</paraID>
      <start>7</start>
      <end>8</end>
      <status>ignored</status>
      <modifiedWord/>
      <trackRevisions>false</trackRevisions>
    </reviewItem>
    <reviewItem>
      <errorID>08c43215-33d6-4dad-be0f-bd3befe82afc</errorID>
      <errorWord>）</errorWord>
      <group>L1_Punc</group>
      <groupName>标点问题</groupName>
      <ability>L2_Punc</ability>
      <abilityName>标点符号检查</abilityName>
      <candidateList/>
      <explain>同一形式括号套用。</explain>
      <paraID>311D7A1C</paraID>
      <start>13</start>
      <end>14</end>
      <status>ignored</status>
      <modifiedWord/>
      <trackRevisions>false</trackRevisions>
    </reviewItem>
    <reviewItem>
      <errorID>e1ab4943-42ba-4c6c-a7ef-b8adf4eb1980</errorID>
      <errorWord>、</errorWord>
      <group>L1_Punc</group>
      <groupName>标点问题</groupName>
      <ability>L2_Punc</ability>
      <abilityName>标点符号检查</abilityName>
      <candidateList>
        <item>.</item>
      </candidateList>
      <explain/>
      <paraID>3DBB28B3</paraID>
      <start>1</start>
      <end>2</end>
      <status>ignored</status>
      <modifiedWord/>
      <trackRevisions>false</trackRevisions>
    </reviewItem>
    <reviewItem>
      <errorID>9cea22fc-75c5-4009-a4ad-7eea946bc590</errorID>
      <errorWord>、</errorWord>
      <group>L1_Punc</group>
      <groupName>标点问题</groupName>
      <ability>L2_Punc</ability>
      <abilityName>标点符号检查</abilityName>
      <candidateList>
        <item>.</item>
      </candidateList>
      <explain/>
      <paraID> A951D44</paraID>
      <start>1</start>
      <end>2</end>
      <status>ignored</status>
      <modifiedWord/>
      <trackRevisions>false</trackRevisions>
    </reviewItem>
    <reviewItem>
      <errorID>3b290842-6270-4445-a158-0d4db6c25700</errorID>
      <errorWord>里继续</errorWord>
      <group>L1_Word</group>
      <groupName>字词问题</groupName>
      <ability>L2_Typo</ability>
      <abilityName>字词错误</abilityName>
      <candidateList>
        <item>中继续</item>
      </candidateList>
      <explain/>
      <paraID>12626F0A</paraID>
      <start>44</start>
      <end>47</end>
      <status>modified</status>
      <modifiedWord>中继续</modifiedWord>
      <trackRevisions>false</trackRevisions>
    </reviewItem>
    <reviewItem>
      <errorID>6dadc96d-68cb-42b7-8f41-33a4be702f36</errorID>
      <errorWord>程</errorWord>
      <group>L1_Word</group>
      <groupName>字词问题</groupName>
      <ability>L2_Typo</ability>
      <abilityName>字词错误</abilityName>
      <candidateList>
        <item>程中</item>
      </candidateList>
      <explain/>
      <paraID> D356568</paraID>
      <start>17</start>
      <end>19</end>
      <status>modified</status>
      <modifiedWord>程中</modifiedWord>
      <trackRevisions>false</trackRevisions>
    </reviewItem>
    <reviewItem>
      <errorID>320ff796-5064-4605-8793-64aa534f7e61</errorID>
      <errorWord>》</errorWord>
      <group>L1_Word</group>
      <groupName>字词问题</groupName>
      <ability>L2_Typo</ability>
      <abilityName>字词错误</abilityName>
      <candidateList>
        <item>》等</item>
      </candidateList>
      <explain/>
      <paraID>2C3510B6</paraID>
      <start>31</start>
      <end>32</end>
      <status>ignored</status>
      <modifiedWord/>
      <trackRevisions>false</trackRevisions>
    </reviewItem>
    <reviewItem>
      <errorID>4ef21fab-9a51-4356-be6e-0c88e82a10dc</errorID>
      <errorWord>/”</errorWord>
      <group>L1_Punc</group>
      <groupName>标点问题</groupName>
      <ability>L2_Punc</ability>
      <abilityName>标点符号检查</abilityName>
      <candidateList>
        <item>”</item>
      </candidateList>
      <explain/>
      <paraID>17869B35</paraID>
      <start>79</start>
      <end>81</end>
      <status>ignored</status>
      <modifiedWord/>
      <trackRevisions>false</trackRevisions>
    </reviewItem>
    <reviewItem>
      <errorID>d3a4e633-8f73-460c-a3b1-987cc09183f6</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22CD4608</paraID>
      <start>197</start>
      <end>199</end>
      <status>modified</status>
      <modifiedWord>可以</modifiedWord>
      <trackRevisions>false</trackRevisions>
    </reviewItem>
    <reviewItem>
      <errorID>1b12b19b-7bfc-4c7b-80cd-464dcf00bc98</errorID>
      <errorWord>征状</errorWord>
      <group>L1_Word</group>
      <groupName>字词问题</groupName>
      <ability>L2_Typo</ability>
      <abilityName>字词错误</abilityName>
      <candidateList>
        <item>症状</item>
      </candidateList>
      <explain/>
      <paraID>10D7176D</paraID>
      <start>41</start>
      <end>43</end>
      <status>ignored</status>
      <modifiedWord/>
      <trackRevisions>false</trackRevisions>
    </reviewItem>
    <reviewItem>
      <errorID>b450c90f-7896-4208-82a4-3cd0bafb192d</errorID>
      <errorWord>征状</errorWord>
      <group>L1_Word</group>
      <groupName>字词问题</groupName>
      <ability>L2_Typo</ability>
      <abilityName>字词错误</abilityName>
      <candidateList>
        <item>症状</item>
      </candidateList>
      <explain/>
      <paraID>10D7176D</paraID>
      <start>55</start>
      <end>57</end>
      <status>ignored</status>
      <modifiedWord/>
      <trackRevisions>false</trackRevisions>
    </reviewItem>
    <reviewItem>
      <errorID>705d3917-a64a-4ccf-8e45-cdb79632593f</errorID>
      <errorWord>大量有</errorWord>
      <group>L1_Word</group>
      <groupName>字词问题</groupName>
      <ability>L2_Typo</ability>
      <abilityName>字词错误</abilityName>
      <candidateList>
        <item>大量</item>
      </candidateList>
      <explain/>
      <paraID>10D7176D</paraID>
      <start>64</start>
      <end>66</end>
      <status>modified</status>
      <modifiedWord>大量</modifiedWord>
      <trackRevisions>false</trackRevisions>
    </reviewItem>
    <reviewItem>
      <errorID>9312363f-b029-4884-ab1c-528f9a3876b1</errorID>
      <errorWord>安全地</errorWord>
      <group>L1_Word</group>
      <groupName>字词问题</groupName>
      <ability>L2_Typo</ability>
      <abilityName>字词错误</abilityName>
      <candidateList>
        <item>安全</item>
      </candidateList>
      <explain>〈形〉没有危险；不受威胁；不出事故：～操作｜～地带｜注意交通～。</explain>
      <paraID>1F938BBD</paraID>
      <start>58</start>
      <end>60</end>
      <status>modified</status>
      <modifiedWord>安全</modifiedWord>
      <trackRevisions>false</trackRevisions>
    </reviewItem>
    <reviewItem>
      <errorID>1457fbee-c884-4763-81b4-5c20258db9ce</errorID>
      <errorWord>上述的</errorWord>
      <group>L1_Word</group>
      <groupName>字词问题</groupName>
      <ability>L2_Typo</ability>
      <abilityName>字词错误</abilityName>
      <candidateList>
        <item>上述</item>
      </candidateList>
      <explain>〈形〉属性词。上面所说的：～各条，望切实执行。</explain>
      <paraID>5E429A18</paraID>
      <start>16</start>
      <end>18</end>
      <status>modified</status>
      <modifiedWord>上述</modifiedWord>
      <trackRevisions>false</trackRevisions>
    </reviewItem>
    <reviewItem>
      <errorID>7ed2e851-d018-47d0-aaa2-d0e6f27d2f59</errorID>
      <errorWord>、</errorWord>
      <group>L1_Punc</group>
      <groupName>标点问题</groupName>
      <ability>L2_Punc</ability>
      <abilityName>标点符号检查</abilityName>
      <candidateList>
        <item>.</item>
      </candidateList>
      <explain/>
      <paraID>33E612B8</paraID>
      <start>1</start>
      <end>2</end>
      <status>ignored</status>
      <modifiedWord/>
      <trackRevisions>false</trackRevisions>
    </reviewItem>
    <reviewItem>
      <errorID>7e717030-d81e-44f7-80de-1dff186362fd</errorID>
      <errorWord>、</errorWord>
      <group>L1_Punc</group>
      <groupName>标点问题</groupName>
      <ability>L2_Punc</ability>
      <abilityName>标点符号检查</abilityName>
      <candidateList>
        <item>.</item>
      </candidateList>
      <explain/>
      <paraID>1C68FD21</paraID>
      <start>1</start>
      <end>2</end>
      <status>ignored</status>
      <modifiedWord/>
      <trackRevisions>false</trackRevisions>
    </reviewItem>
    <reviewItem>
      <errorID>39fd0822-9f25-4c69-8400-fc5eaf8464b4</errorID>
      <errorWord>监测报告</errorWord>
      <group>L1_Word</group>
      <groupName>字词问题</groupName>
      <ability>L2_Typo</ability>
      <abilityName>字词错误</abilityName>
      <candidateList>
        <item>检测报告</item>
      </candidateList>
      <explain/>
      <paraID>79A9D399</paraID>
      <start>4</start>
      <end>8</end>
      <status>ignored</status>
      <modifiedWord/>
      <trackRevisions>false</trackRevisions>
    </reviewItem>
    <reviewItem>
      <errorID>e9f8a7de-00f6-4ef0-8cdd-d6580e07e80d</errorID>
      <errorWord>监测报告</errorWord>
      <group>L1_Word</group>
      <groupName>字词问题</groupName>
      <ability>L2_Typo</ability>
      <abilityName>字词错误</abilityName>
      <candidateList>
        <item>检测报告</item>
      </candidateList>
      <explain/>
      <paraID>7E4F99E5</paraID>
      <start>2</start>
      <end>6</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4EFA556-982C-4C93-9245-16F961759E13}">
  <ds:schemaRefs/>
</ds:datastoreItem>
</file>

<file path=customXml/itemProps3.xml><?xml version="1.0" encoding="utf-8"?>
<ds:datastoreItem xmlns:ds="http://schemas.openxmlformats.org/officeDocument/2006/customXml" ds:itemID="{33C4EEF6-5DFC-4BC2-89F0-7F416E14F996}">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166</Words>
  <Characters>178</Characters>
  <Lines>639</Lines>
  <Paragraphs>180</Paragraphs>
  <TotalTime>89</TotalTime>
  <ScaleCrop>false</ScaleCrop>
  <LinksUpToDate>false</LinksUpToDate>
  <CharactersWithSpaces>230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2026-03-04T06:49:00Z</dcterms:created>
  <dc:creator>admin</dc:creator>
  <cp:lastModifiedBy>ly</cp:lastModifiedBy>
  <cp:lastPrinted>2026-05-09T09:10:00Z</cp:lastPrinted>
  <dcterms:modified xsi:type="dcterms:W3CDTF">2026-05-14T03:08:58Z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E59BFEB9681649278CBE39CC73EB24B5</vt:lpwstr>
  </property>
  <property fmtid="{D5CDD505-2E9C-101B-9397-08002B2CF9AE}" pid="4" name="KSOTemplateDocerSaveRecord">
    <vt:lpwstr>eyJoZGlkIjoiZjgwYmE2MWFjNGI0NmVmZDcyNWQ0ZmVkZTBkMjMwMTAiLCJ1c2VySWQiOiI2OTk2MzQwMDEifQ==</vt:lpwstr>
  </property>
</Properties>
</file>